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4A_275/2009 vom 12. August 2009</w:t>
      </w:r>
    </w:p>
    <w:p>
      <w:r>
        <w:t>Bundesgericht, 2009-08-12, FR</w:t>
      </w:r>
    </w:p>
    <w:p>
      <w:r>
        <w:rPr>
          <w:b/>
        </w:rPr>
        <w:t xml:space="preserve">Quelle: </w:t>
      </w:r>
      <w:r>
        <w:t>https://mcp.opencaselaw.ch/entscheid/bger_4A_275_2009</w:t>
      </w:r>
    </w:p>
    <w:p>
      <w:r>
        <w:t>FR: TF 4A_275/2009 du 12 août 2009</w:t>
      </w:r>
    </w:p>
    <w:p>
      <w:r>
        <w:t>IT: TF 4A_275/2009 del 12 agosto 2009</w:t>
      </w:r>
    </w:p>
    <w:p>
      <w:pPr>
        <w:pStyle w:val="Heading2"/>
      </w:pPr>
      <w:r>
        <w:t>Erwägungen</w:t>
      </w:r>
    </w:p>
    <w:p>
      <w:r>
        <w:rPr>
          <w:b/>
        </w:rPr>
        <w:t>E. 1</w:t>
      </w:r>
    </w:p>
    <w:p>
      <w:r>
        <w:t>Le recours est dirigé contre un jugement final ( art. 90 LTF ), rendu en matière civile ( art. 72 al. 1 LTF ) et en dernière instance cantonale ( art. 75 al. 1 LTF ). Ses auteurs ont pris part à l'instance précédente et succombé dans leurs conclusions ( art. 76 al. 1 LTF ). La valeur litigieuse excède le minimum légal de 30'000 fr. (art. 51 al. 1 let. a et 74 al. 1 let. b LTF). Introduit en temps utile ( art. 100 al. 1 LTF ) et dans les formes requises (art. 42 al. 1 à 3 LTF), le recours est en principe recevable.</w:t>
      </w:r>
    </w:p>
    <w:p>
      <w:r>
        <w:t>Le recours est ouvert pour violation du droit fédéral ( art. 95 let. a LTF ). Le Tribunal fédéral applique ce droit d'office, hormis les droits fondamentaux ( art. 106 LTF ). Il n'est pas lié par l'argumentation des parties et il apprécie librement la portée juridique des faits; il s'en tient cependant, d'ordinaire, aux questions juridiques que la partie recourante soulève dans la motivation du recours ( art. 42 al. 2 LTF ; ATF 133 II 249 consid. 1.4.1 p. 254), et il ne se prononce sur la violation de droits fondamentaux que s'il se trouve saisi d'un grief invoqué et motivé de façon détaillée ( art. 106 al. 2 LTF ; ATF 134 I 83 consid. 3.2 p. 88; 134 II 244 consid. 2.2 p. 246; 133 II 249 consid. 1.4.2). Il conduit son raisonnement juridique sur la base des faits constatés dans la décision attaquée ( art. 105 al. 1 LTF ).</w:t>
      </w:r>
    </w:p>
    <w:p>
      <w:r>
        <w:rPr>
          <w:b/>
        </w:rPr>
        <w:t>E. 2</w:t>
      </w:r>
    </w:p>
    <w:p>
      <w:r>
        <w:t>Il est constant que les parties se sont liées par un contrat d'entreprise et que la défenderesse a réalisé, en exécution de ce contrat, un ouvrage dont les demandeurs ont fait usage dès le 14 mai 1996.</w:t>
      </w:r>
    </w:p>
    <w:p>
      <w:r>
        <w:t>Aux termes des art. 367 al. 1 et 370 CO , le maître doit vérifier l'état de l'ouvrage dont il a reçu livraison, cela aussitôt qu'il le peut d'après la marche habituelle des affaires, et, s'il y a lieu, en signaler les défauts à l'entrepreneur (art. 367 al. 1). Si le maître omet la vérification ou l'avis, il est censé avoir accepté l'ouvrage avec les défauts qu'il aurait pu constater et signaler (art. 370 al. 2). Si des défauts ne se manifestent que plus tard, le maître doit les signaler aussitôt qu'il en a connaissance; sinon, l'ouvrage est tenu pour accepté avec eux également (art. 370 al. 3). L'entrepreneur est déchargé de toute responsabilité en raison des défauts acceptés (art. 370 al. 1); par suite des autres défauts, régulièrement signalés, le maître peut exercer les droits qui lui sont conférés par l' art. 368 CO . Le maître peut notamment exiger la réparation de l'ouvrage aux frais de l'entrepreneur, si la réparation est possible sans dépense excessive, et de plus, il peut réclamer des dommages-intérêts si l'entrepreneur est en faute ( art. 368 al. 2 CO ).</w:t>
      </w:r>
    </w:p>
    <w:p>
      <w:r>
        <w:rPr>
          <w:b/>
        </w:rPr>
        <w:t>E. 3</w:t>
      </w:r>
    </w:p>
    <w:p>
      <w:r>
        <w:t>A teneur de l' art. 371 al. 2 CO , les droits du maître en raison des défauts de l'ouvrage, s'il s'agit d'une construction immobilière, se prescrivent par cinq ans à compter de la réception. En l'espèce, ce délai a couru au plus tard dès le jour où les demandeurs ont effectivement occupé le bâtiment réalisé; contrairement à leur opinion, il importe peu que la défenderesse ne leur ait pas formellement signifié l'achèvement de cette construction, et il importe tout aussi peu que celle-ci présentât de nombreux et importants défauts ( ATF 115 II 456 consid. 4 p. 458). Faute d'interruption selon l' art. 135 CO , le délai est donc arrivé à échéance en mai 2001, en ce qui concerne la réparation du défaut à l'origine de la pollution de l'eau, et depuis, la prescription est acquise à la défenderesse.</w:t>
      </w:r>
    </w:p>
    <w:p>
      <w:r>
        <w:t>Le débiteur d'une obligation prescrite peut valablement renoncer à se prévaloir de la prescription acquise; il peut, en particulier, reconnaître la dette et promettre simultanément qu'il n'invoquera pas la prescription (Silvia Tevini Du Pasquier, in Commentaire romand, 2003, n° 9 ad art. 17 CO ; cf. ATF 132 III 226 consid. 3.3.7 in fine p. 240). En revanche, s'il reconnaît la dette sans renoncer explicitement ni tacitement à la prescription, le débiteur conserve le droit de s'en prévaloir car, à elle seule, si elle ne comporte pas une convention spécifique sur ce point, la reconnaissance n'apporte aucune modification à l'obligation reconnue et elle n'empêche pas le débiteur de soulever toutes les objections et exceptions qui lui appartenaient déjà (Tevini Du Pasquier, op. cit, nos 7 et 8 ad art. 17 CO ; ATF 131 III 268 consid. 3.2 p. 272). Si le débiteur reconnaît une obligation qui n'est pas encore prescrite, la reconnaissance interrompt la prescription et fait courir un nouveau délai par l'effet de l' art. 135 ch. 1 CO .</w:t>
      </w:r>
    </w:p>
    <w:p>
      <w:r>
        <w:t>Les demandeurs soutiennent que leur cocontractante a renoncé à la prescription en leur transmettant, en juillet 2005, une proposition de Z.________ SA relative au remplacement de la tuyauterie, puis en participant à la réunion du 18 du même mois. Tout au plus, en entrant en matière sur les réclamations des demandeurs et en s'entremettant entre ceux-ci et la société tierce a qui elle avait sous-traité les installations sanitaires, la défenderesse a peut-être reconnu qu'elle assumait en principe l'obligation de remédier au défaut provoquant la pollution de l'eau. S'il en est ainsi, elle a alors tacitement renoncé à se prévaloir d'un éventuel retard dans l'avis des défauts nécessaire selon l' art. 367 al. 1 CO (cf. François Chaix, in Commentaire romand, n° 24 ad art. 370 CO ). Mais, dans les déclarations et le comportement de la défenderesse, rien ne peut être compris de bonne foi, selon le principe de la confiance qui régit l'interprétation des manifestations de volonté ( ATF 132 III 24 consid. 4 p. 27/28), comme une promesse de remédier au défaut aussi dans l'hypothèse particulière où l'obligation correspondante se trouverait déjà atteinte par la prescription. En effet, les pourparlers auxquels la défenderesse a pris part n'ont comporté aucune allusion au problème juridique de la prescription, et, comme les demandeurs le soulignent, leur adverse partie ne s'est pas exprimée à ce sujet. On ne voit d'ailleurs pas pourquoi ni dans quel intérêt elle aurait renoncé à l'exception concernée. La prétention élevée contre elle reste donc atteinte par la prescription.</w:t>
      </w:r>
    </w:p>
    <w:p>
      <w:r>
        <w:rPr>
          <w:b/>
        </w:rPr>
        <w:t>E. 4</w:t>
      </w:r>
    </w:p>
    <w:p>
      <w:r>
        <w:t>Selon l' art. 142 CO , le juge ne peut pas suppléer d'office le moyen résultant de la prescription. La défenderesse ayant elle-même, dans le procès, soulevé ce moyen, les demandeurs invoquent vainement cette disposition. Enfin, il n'est pas nécessaire d'examiner l'argumentation qu'ils développent pour contester leur retard dans l'avis des défauts.</w:t>
      </w:r>
    </w:p>
    <w:p>
      <w:r>
        <w:rPr>
          <w:b/>
        </w:rPr>
        <w:t>E. 5</w:t>
      </w:r>
    </w:p>
    <w:p>
      <w:r>
        <w:t>Le recours se révèle privé de fondement, ce qui conduit à son rejet. A titre de parties qui succombent, ses auteurs doivent acquitter l'émolument à percevoir par le Tribunal fédéral et les dépens auxquels l'autre partie peut prétendre.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