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274/2015 vom 18. November 2015</w:t>
      </w:r>
    </w:p>
    <w:p>
      <w:r>
        <w:t>Bundesgericht, 2015-11-18, FR</w:t>
      </w:r>
    </w:p>
    <w:p>
      <w:r>
        <w:rPr>
          <w:b/>
        </w:rPr>
        <w:t xml:space="preserve">Quelle: </w:t>
      </w:r>
      <w:r>
        <w:t>https://mcp.opencaselaw.ch/entscheid/bger_4A_274_2015</w:t>
      </w:r>
    </w:p>
    <w:p>
      <w:r>
        <w:t>FR: TF 4A 274/2015 du 18 novembre 2015</w:t>
      </w:r>
    </w:p>
    <w:p>
      <w:r>
        <w:t>IT: TF 4A 274/2015 del 18 novembre 2015</w:t>
      </w:r>
    </w:p>
    <w:p>
      <w:pPr>
        <w:pStyle w:val="Heading2"/>
      </w:pPr>
      <w:r>
        <w:t>Regeste</w:t>
      </w:r>
    </w:p>
    <w:p>
      <w:r>
        <w:t>contrat de travail; salaire; commissions; interprétation du contrat | Droit des contrats</w:t>
      </w:r>
    </w:p>
    <w:p>
      <w:pPr>
        <w:pStyle w:val="Heading2"/>
      </w:pPr>
      <w:r>
        <w:t>Erwägungen</w:t>
      </w:r>
    </w:p>
    <w:p>
      <w:r>
        <w:rPr>
          <w:b/>
        </w:rPr>
        <w:t>E. 1.1</w:t>
      </w:r>
    </w:p>
    <w:p>
      <w:r>
        <w:t>Déposé en temps utile ( art. 100 al. 1 LTF ) par le demandeur qui a succombé en quasi-totalité dans ses conclusions en paiement ( art. 76 al. 1 LTF ) et dirigé contre un arrêt final ( art. 90 LTF ) rendu sur recours par le tribunal supérieur du canton ( art. 75 LTF ) dans une contestation en matière de droit du travail dont la valeur litigieuse est supérieure à 15'000 fr. (art. 72 al. 1 et 74 al. 1 let. a LTF), le recours en matière civile est recevable au regard de ces dispositions.</w:t>
      </w:r>
    </w:p>
    <w:p>
      <w:r>
        <w:rPr>
          <w:b/>
        </w:rPr>
        <w:t>E. 1.2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 Lorsque le recourant soutient que les faits ont été constatés de manière arbitraire, que les preuves ont été appréciées de manière insoutenable,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Le recourant qui soutient que les faits ont été constatés d'une manière arbitraire doit satisfaire au principe d'allégation ( art. 106 al. 2 LTF ), c'est-à-dire soulever expressément ce grief et exposer celui-ci de façon claire et détaillée ( ATF 135 III 232 consid. 1.2; 133 II 249 consid. 1.4.2). Pour chaque constatation de fait incriminée, il doit démontrer comment les preuves administrées auraient dû, selon lui, être correctement appréciées et en quoi leur appréciation par l'autorité cantonale est insoutenable (arrêt 5A_621/2013 du 20 novembre 2014 consid. 2.1 in Pra 2015 no 76 p. 598). Le Tribunal fédéral n'entre pas en matière sur les critiques de nature appellatoire (cf. ATF 130 I 258 consid. 1.3 p. 261/262; 125 I 492 consid. 1b p. 495).</w:t>
      </w:r>
    </w:p>
    <w:p>
      <w:r>
        <w:rPr>
          <w:b/>
        </w:rPr>
        <w:t>E. 1.3</w:t>
      </w:r>
    </w:p>
    <w:p>
      <w:r>
        <w:t>Le Tribunal fédéral applique d'office le droit ( art. 106 al. 1 LTF ) à l'état de fait constaté dans l'arrêt cantonal.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ne soit manifeste ( ATF 140 III 86 consid. 2; 133 III 545 consid. 2.2).</w:t>
      </w:r>
    </w:p>
    <w:p>
      <w:r>
        <w:rPr>
          <w:b/>
        </w:rPr>
        <w:t>E. 2</w:t>
      </w:r>
    </w:p>
    <w:p>
      <w:r>
        <w:t>Le litige a trait à la rémunération de l'employé. Celui-ci observe avoir eu droit à des commissions dans les deux fonctions exercées auprès de C.________, et il estime y avoir également droit pour son travail auprès de B.________, celle-ci ne lui ayant toutefois jamais versé les montants correspondants. Il souligne que, pour sa part, il avait toujours eu l'intention de conclure un contrat de travail incluant le droit à des commissions, conformément à ce que lui avait indiqué oralement B.________ et que le renvoi au Règlement des commissions précité corrobore son point de vue. B.________ rappelle que son employé était attaché aux " Affaires entreprises ", que celles-ci ne généraient pas de commissions (ou seulement des montants très modestes) et que la mention, dans le contrat de travail, du règlement P. - stipulant les modalités des commissions versées aux conseillers de vente affectés uniquement au service " Clients privés " - était une erreur dont elle ne s'était rendue compte qu'à la lecture de la requête de conciliation.</w:t>
      </w:r>
    </w:p>
    <w:p>
      <w:r>
        <w:rPr>
          <w:b/>
        </w:rPr>
        <w:t>E. 3</w:t>
      </w:r>
    </w:p>
    <w:p>
      <w:r>
        <w:t>Le recourant s'en prend, dans un premier temps (dans la partie " III. Faits " de son acte de recours), à l'état de fait dressé par la cour cantonale.</w:t>
      </w:r>
    </w:p>
    <w:p>
      <w:r>
        <w:rPr>
          <w:b/>
        </w:rPr>
        <w:t>E. 3.1</w:t>
      </w:r>
    </w:p>
    <w:p>
      <w:r>
        <w:t>D'emblée, on observe que, si le recourant reproche à la cour cantonale d'avoir ignoré sans raison certains points de fait, il n'explique pas en quoi la constatation de ces faits pourrait avoir une incidence sur le sort de la cause. C'est le cas des points ayant trait à son salaire auprès de son ancien employeur (C.________), ainsi qu'au " salaire AVS annuel " réalisé auprès de celui-ci (acte de recours ch. 1, 2, 3, 4 [p. 7 s.]). Ces constatations n'ont aucune influence sur l'issue du recours, puisqu'en l'occurrence il s'agit d'établir les faits pertinents permettant de déterminer, au moyen de l'interprétation, les revenus que l'employé a convenu avec B.________ (et non avec C.________). Pour la même raison, la mention par le recourant des " commissions de conclusion " qui résulte de sa fiche de salaire ne lui est d'aucune aide, puisque la cour précédente a constaté qu'il s'agissait d'un bonus versé sur la base d'une activité déployée par l'employé auprès de son ancien employeur (C.________). La comparaison faite par le recourant avec la fiche de salaire de D.________ appelle la même observation. Il en va de même des cotisations qui auraient été prélevées sur le " bonus force de vente 2009 " (versé alors que l'employé travaillait pour B.________). Enfin, on ne voit pas en quoi d'autres affirmations du demandeur - dont on peine d'ailleurs à comprendre en quoi elles servent ses intérêts - pourraient avoir une incidence sur le sort de la cause. C'est le cas des allégations de sa partie adverse qui auraient été ignorées (acte de recours ch. 9 et 10), ou encore de la prétendue différence de traitement, opérée par le règlement, entre les cas de maladie et d'accident (acte de recours ch. 16 p. 11). Les critiques sont irrecevables.</w:t>
      </w:r>
    </w:p>
    <w:p>
      <w:r>
        <w:rPr>
          <w:b/>
        </w:rPr>
        <w:t>E. 3.2</w:t>
      </w:r>
    </w:p>
    <w:p>
      <w:r>
        <w:t>Dans d'autres parties de son mémoire, le recourant fait état de circonstances que la cour cantonale aurait ignorées, sans toutefois mentionner de griefs, ou alors sans que l'on parvienne à comprendre en quoi ces circonstances pourraient favoriser sa thèse. Il en va notamment ainsi du constat selon lequel l'employé " était l'un des meilleurs producteur (sic), par la qualité et la force de son travail, ainsi que par sa motivation " (acte de recours ch. 5 et 6 [p. 8 s.]), de l'affirmation selon laquelle il n'a " pas été en mesure de contribuer au développement des affaires de son employeur " (acte de recours ch. 14 p. 11), ainsi que du renvoi à l'art. 15.4 des CGA de l'assurance d'indemnités journalières en cas de maladie pour entreprise (acte de recours ch. 17 p. 11 s.). Le moyen est irrecevable.</w:t>
      </w:r>
    </w:p>
    <w:p>
      <w:r>
        <w:rPr>
          <w:b/>
        </w:rPr>
        <w:t>E. 3.3</w:t>
      </w:r>
    </w:p>
    <w:p>
      <w:r>
        <w:t>A d'autres endroits, le recourant, sous couvert de reprocher à la cour cantonale d'avoir omis de constater certains faits, critique en réalité l'interprétation entreprise par l'autorité précédente, soit en application de l' art. 18 CO (acte de recours ch. 7 et 8 [p. 9]). Cette question sera examinée plus loin (cf. infra consid. 4.2).</w:t>
      </w:r>
    </w:p>
    <w:p>
      <w:r>
        <w:rPr>
          <w:b/>
        </w:rPr>
        <w:t>E. 3.4</w:t>
      </w:r>
    </w:p>
    <w:p>
      <w:r>
        <w:t>Le recourant revient également sur divers points qui auraient été ignorés par la cour cantonale, mais de manière purement appellatoire, en particulier sans se référer au raisonnement tenu par l'autorité précédente dans l'arrêt attaqué et sans indiquer en quoi ce raisonnement serait insoutenable (acte de recours ch. 11, 12, 13, 15 p. 10 s.). Il n'y a pas lieu d'entrer en matière sur ces divers éléments.</w:t>
      </w:r>
    </w:p>
    <w:p>
      <w:r>
        <w:rPr>
          <w:b/>
        </w:rPr>
        <w:t>E. 3.5</w:t>
      </w:r>
    </w:p>
    <w:p>
      <w:r>
        <w:t>Les explications données par le recourant dans la partie " IV. Droit et discussions / A. De la constatation incomplète et arbitraire des faits ", reprennent en majeure partie, parfois sous un angle légèrement différent, les critiques déjà examinées plus haut (cf. consid. 3.1 à 3.4). Il n'y a donc pas lieu d'y revenir. Quant aux arguments (dans la même partie du recours) qui visent à démontrer que l'employé avait droit à des commissions même si celles-ci trouvaient leur source dans les " affaires entreprises " (et non dans les affaires privées), ils ne sont pas présentés en respectant les exigences strictes des art. 97 al. 1 et 106 al. 2 LTF et il n'y a donc pas lieu d'entrer en matière à ce sujet. Les longues explications données par le demandeur, qui visent à démontrer qu'un de ses collègues (D.________) avait, lui, droit à des commissions, ne lui sont d'aucune aide, la cour cantonale ayant retenu que les propos du témoin D.________ - sur lesquels se base le recourant - n'ont quoi qu'il en soit pas été corroborés par d'autres témoignages ou par les pièces produites dans la procédure (cf. arrêt entrepris consid. 4.4). Enfin, par les explications fournies sous les ch. 2.8, 2.9 et 2.10 de l'acte de recours - pour autant qu'elles ne se recoupent pas avec les critiques déjà examinées plus haut (cf. supra consid. 3.1 à 3.4) -, le recourant se borne à entreprendre une appréciation des preuves favorable à sa thèse, sans discuter, à l'aide d'une motivation circonstanciée, les constatations précises entreprises par la cour cantonale dans l'arrêt entrepris. Il n'y a donc pas lieu d'entrer en matière à ce sujet. En conclusion, l'état de fait n'a pas été dressé de manière arbitraire par la cour cantonale.</w:t>
      </w:r>
    </w:p>
    <w:p>
      <w:r>
        <w:rPr>
          <w:b/>
        </w:rPr>
        <w:t>E. 4</w:t>
      </w:r>
    </w:p>
    <w:p>
      <w:r>
        <w:t>Le recourant reproche ensuite à la cour cantonale d'avoir retenu que, selon le contrat dûment interprété, l'employé n'avait pas droit à des commissions, mais qu'il était rémunéré uniquement sur la base d'un salaire fixe (hors bonus à bien plaire et éventuelles commissions ponctuelles).</w:t>
      </w:r>
    </w:p>
    <w:p>
      <w:r>
        <w:rPr>
          <w:b/>
        </w:rPr>
        <w:t>E. 4.1</w:t>
      </w:r>
    </w:p>
    <w:p>
      <w:r>
        <w:t>Le recourant estime que si la cour cantonale avait correctement établi les faits de la cause (soit conformément à sa propre version, qu'il entendait, en invoquant l'arbitraire, substituer aux constatations cantonales), elle serait parvenue, en recherchant la réelle et commune intention des parties, à la conclusion qu'il avait droit à des commissions (cf. acte de recours n. 2 p. 26). En l'occurrence, les moyens tirés de l'arbitraire ont tous été rejetés (cf. supra consid. 3) et le grief soulevé par le recourant, qui présuppose de prendre en compte un état de fait corrigé, est irrecevable.</w:t>
      </w:r>
    </w:p>
    <w:p>
      <w:r>
        <w:rPr>
          <w:b/>
        </w:rPr>
        <w:t>E. 4.1.1</w:t>
      </w:r>
    </w:p>
    <w:p>
      <w:r>
        <w:t>Il apparaît au demeurant, à la lecture du raisonnement adopté par les magistrats cantonaux, que ceux-ci ont finalement interprété le contrat à la lumière du principe de la confiance, admettant par là qu'ils ne pouvaient établir la volonté réelle et commune des parties. A considérer que le recourant entendait également présenter sa critique dans la perspective du principe de la confiance (cf. acte de recours n. 2 p. 29), on ne peut que constater à nouveau qu'il se limite à reprocher à la cour cantonale une interprétation erronée pour le seul motif que celle-ci s'est fondée sur un état de fait - soit les circonstances sur la base desquelles l'interprétation objective [question de droit] peut être entreprise - établi arbitrairement. Le grief d'arbitraire ayant été écarté plus haut (cf. supra consid. 3), la critique du recourant est irrecevable. Quoi qu'il en soit, on ne voit pas que, sur la base des constatations cantonales exemptes d'arbitraire, l'autorité précédente ait violé le droit en retenant, en application du principe de la confiance, que l'employé n'avait pas droit à des commissions. Il résulte en effet des constatations cantonales que le contrat de travail B.________ et le document intitulé " Données RH: A.________ " (signés le même jour) décrivent le mode de rémunération de l'employé, à savoir un salaire fixe, des frais de représentation et un bonus variable au bon vouloir de l'employeuse (représentant 10% au plus du salaire fixe). Ni ce contrat ni aucun autre document l'accompagnant ne mentionne expressément un droit de l'employé à des commissions, à l'exception du renvoi au " Règlement des commissions pour les conseillers de vente P. [privée] ". On ne voit toutefois pas que l'employé ait pu de bonne foi inférer de ce seul renvoi un droit à des commissions; il devait au contraire comprendre qu'il s'agissait d'une erreur, puisque, selon les constatations cantonales, l'organisation de la défenderesse excluait qu'un conseiller " Affaires entreprises " - contrairement aux conseillers de la clientèle privée - puisse toucher des commissions (sauf des commissions ponctuelles infimes sur certaines affaires), que l'employé savait qu'il était rattaché exclusivement au département " Affaires entreprises ", qu'il ne pouvait ignorer la différence de politique salariale entre les deux entreprises, ni le fait qu'il ne pouvait bénéficier d'une rémunération aussi importante qu'avant son transfert. Quant au " Descriptif de fonction pour Conseiller Affaires entreprises ", qui mentionne le droit à des commissions, il n'était qu'un document provisoire (" non définitif, sous réserve de modification ") établi avant la conclusion du contrat entre les parties. A cet égard, l'employé se borne à observer que la cour cantonale a arbitrairement ignoré que cette pièce avait été établie un peu plus de dix jours avant la conclusion du contrat et que, si elle l'avait prise en compte, elle aurait " à n'en pas douter ", admis qu'il avait droit à des commissions. D'une part, le fait que la cour cantonale n'ait pas mentionné expressément cette proximité temporelle entre les documents en question ne signifie pas encore qu'elle n'en a pas tenu compte dans son raisonnement. D'autre part (dans la perspective de l'interprétation basée sur le principe de la confiance), on ne voit pas que cette précision serait susceptible de confirmer la thèse de l'employé; il demeure que le contrat effectivement signé entre les parties avait un contenu différent de celui du document provisoire et que l'employé en avait conscience puisque, selon les constatations cantonales, il ne pouvait ignorer la différence de politique salariale entre les deux entreprises (cf. paragraphe précédent). Le contrat ne contenant aucun élément pouvant laisser penser que les parties entendaient, au moment de la conclusion du contrat, prévoir un droit à des commissions, et aucune autre circonstance n'allant dans le sens de la thèse de l'employé, il découle de l'interprétation objective du contrat que le demandeur ne pouvait de bonne foi comprendre qu'il avait droit à des commissions. Comme l'interprétation de la clause litigieuse conformément à la théorie de la confiance a permis d'en dégager le sens, il n'est nul besoin de recourir, comme le souhaiterait le recourant, à l'application de la règle dite des clauses ambiguës ( in dubio contra stipulatorem ), qui ne revêt qu'un caractère subsidiaire par rapport à ce moyen d'interprétation (arrêt 4C.374/2006 du 15 mars 2007 consid. 2.2.4 non publié in ATF 133 III 201 ; 122 III 118 consid. 2a et les références).</w:t>
      </w:r>
    </w:p>
    <w:p>
      <w:r>
        <w:rPr>
          <w:b/>
        </w:rPr>
        <w:t>E. 4.1.2</w:t>
      </w:r>
    </w:p>
    <w:p>
      <w:r>
        <w:t>Il en résulte que le grief de violation des art. 18, 19 et 322 CO (le recourant se limitant à citer les deux dernières dispositions) est infondé. Le moyen tiré de la violation de l' art. 324a CO étant intimement lié à l'existence d'un droit à des commissions (cf. acte de recours p. 29 in fine), il se révèle sans consistance. Enfin, invoquant une transgression de l' art. 329d CO , le recourant, pour autant que l'on comprenne bien son raisonnement, reproche à la cour cantonale de ne pas avoir pris en compte, dans le calcul du salaire afférent aux vacances, la part du salaire variable (soit le montant des commissions auquel il avait droit). La prémisse sur laquelle le recourant se fonde (droit à des commissions) a été écartée ci-dessus; partant, le moyen se révèle sans fondement.</w:t>
      </w:r>
    </w:p>
    <w:p>
      <w:r>
        <w:rPr>
          <w:b/>
        </w:rPr>
        <w:t>E. 5</w:t>
      </w:r>
    </w:p>
    <w:p>
      <w:r>
        <w:t>Il résulte des considérations qui précèdent que le recours en matière civile doit être rejeté dans la mesure où il est recevable. Les frais judiciaires et les dépens sont mis à la charge du recourant, qui succombe (art. 66 al. 1,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