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274/2014 vom 30. September 2014</w:t>
      </w:r>
    </w:p>
    <w:p>
      <w:r>
        <w:t>Bundesgericht, 2014-09-30, FR</w:t>
      </w:r>
    </w:p>
    <w:p>
      <w:r>
        <w:rPr>
          <w:b/>
        </w:rPr>
        <w:t xml:space="preserve">Quelle: </w:t>
      </w:r>
      <w:r>
        <w:t>https://mcp.opencaselaw.ch/entscheid/bger_4A_274_2014</w:t>
      </w:r>
    </w:p>
    <w:p>
      <w:r>
        <w:t>FR: TF 4A 274/2014 du 30 septembre 2014</w:t>
      </w:r>
    </w:p>
    <w:p>
      <w:r>
        <w:t>IT: TF 4A 274/2014 del 30 settembre 2014</w:t>
      </w:r>
    </w:p>
    <w:p>
      <w:pPr>
        <w:pStyle w:val="Heading2"/>
      </w:pPr>
      <w:r>
        <w:t>Regeste</w:t>
      </w:r>
    </w:p>
    <w:p>
      <w:r>
        <w:t>arbitrage interne; contrat de travail; compétence | Procédure civile</w:t>
      </w:r>
    </w:p>
    <w:p>
      <w:pPr>
        <w:pStyle w:val="Heading2"/>
      </w:pPr>
      <w:r>
        <w:t>Erwägungen</w:t>
      </w:r>
    </w:p>
    <w:p>
      <w:r>
        <w:rPr>
          <w:b/>
        </w:rPr>
        <w:t>E. 1.1</w:t>
      </w:r>
    </w:p>
    <w:p>
      <w:r>
        <w:t>Le recours en matière civile est recevable contre les sentences rendues dans un arbitrage interne aux conditions fixées par les art. 389 à 395 CPC ( art. 77 al. 1 let. b LTF ). Qu'il s'agisse de l'objet du recours, de la qualité pour recourir, du délai de recours, des conclusions prises par la recourante ou encore des griefs soulevés dans le mémoire de recours, aucune de ces conditions de recevabilité ne fait problème en l'espèce. Rien ne s'oppose donc à l'entrée en matière. Demeure réservé l'examen de la recevabilité des différents griefs formulés dans le mémoire de recours.</w:t>
      </w:r>
    </w:p>
    <w:p>
      <w:r>
        <w:rPr>
          <w:b/>
        </w:rPr>
        <w:t>E. 1.2</w:t>
      </w:r>
    </w:p>
    <w:p>
      <w:r>
        <w:t>Le Tribunal fédéral n'examine que les griefs qui ont été invoqués et motivés par le recourant ( art. 77 al. 3 LTF ). Celui-ci doit donc les formuler conformément aux exigences strictes en matière de motivation, posées par la jurisprudence relative à l' art. 90 al. 1 let. b OJ (cf. ATF 128 III 50 consid. 1c), qui restent valables sous l'empire du nouveau droit de procédure fédéral (arrêt 4A_43/2014 du 24 avril 2014 consid. 1.2).</w:t>
      </w:r>
    </w:p>
    <w:p>
      <w:r>
        <w:rPr>
          <w:b/>
        </w:rPr>
        <w:t>E. 1.3</w:t>
      </w:r>
    </w:p>
    <w:p>
      <w:r>
        <w:t>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CA. Selon la jurisprudence relative à l' art. 36 let . f CA, qui conserve toute sa valeur sous l'empire du CPC (arrêt 4A_374/2011 du 1er septembre 2011 consid. 2.3),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36 let . f CA est donc restreint: il ne porte pas sur l'appréciation des preuves et les conclusions qui en sont tirées, mais uniquement sur les constatations de fait manifestement réfutées par des pièces du dossier.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confirmé par l'arrêt 4A_439 et 457/2012 du 8 mai 2013 consid. 4.1). En d'autres termes, l'erreur sanctionnée autrefois par l' art. 36 let . f CA et aujourd'hui par l' art. 393 let . e CPC s'apparente davantage à la notion d'inadvertance manifeste qu'utilisait l'art. 63 al. 2 de loi fédérale d'organisation judiciaire du 16 décembre 1943 (pour la définition de cette notion, cf. ATF 115 II 399 consid. 2a) qu'à celle d'établissement des faits de façon manifestement inexacte qui figure à l' art. 105 al. 2 LTF et qui correspond à l'arbitraire ( ATF 137 I 58 consid. 4.1.2). L'arbitraire proscrit par l' art. 393 let . e CPC découle aussi du fait que la sentence arbitrale constitue une violation manifeste du droit. Seul le droit matériel est visé, à l'exclusion du droit de procédure.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 Encore faut-il, dans les hypothèses évoquées ci-dessus, que la violation avérée ait rendu la sentence arbitraire dans son résultat, comme le précise expressément la disposition citée. C'est au recourant de démontrer l'existence de ce lien de causalité.</w:t>
      </w:r>
    </w:p>
    <w:p>
      <w:r>
        <w:rPr>
          <w:b/>
        </w:rPr>
        <w:t>E. 2.1</w:t>
      </w:r>
    </w:p>
    <w:p>
      <w:r>
        <w:t>Le motif du congé relève du fait (arrêt 4A_515/2012, précité, consid. 5.3.2.2). Pour le déterminer, l'arbitre unique s'est, tout d'abord, référé, dans la partie "En fait" de sa sentence, à un certain nombre de pièces (sentence, n. I/4) puis a relaté l'essentiel des dépositions de responsables de la recourante, d'animateurs et d'autres personnes ayant collaboré avec l'intimé (sentence, n. I/5). Passant à l'analyse juridique du cas, il a énuméré ensuite les éléments de fait à retenir au regard des preuves administrées et les a classés en trois catégories, au terme d'un premier examen, selon qu'ils étayaient la thèse du licenciement non disciplinaire, appuyaient la thèse inverse ou se révélaient sans pertinence (sentence, n. II/5, let. a-c). Dans une troisième étape de son raisonnement, le président de la CPP a procédé à une synthèse "chronologique et typologique" de ces éléments de fait qui l'a amené à conclure au caractère disciplinaire du congé litigieux (sentence, n. II/6). La démarche de l'arbitre unique, telle qu'elle vient d'être exposée, relève exclusivement de l'appréciation des preuves, puisque son but était de déterminer si le licenciement ordinaire de l'intimé visait ou non à sanctionner une faute de ce collaborateur. A ce titre, elle échappe à l'examen du Tribunal fédéral, conformément à la jurisprudence susmentionnée. Aussi les critiques, d'ailleurs appellatoires, que la recourante formule sous lettre F. de son mémoire (p. 5 ss, n. 15 à 25) à l'encontre du résultat de cette démarche ne sont-elles pas recevables.</w:t>
      </w:r>
    </w:p>
    <w:p>
      <w:r>
        <w:rPr>
          <w:b/>
        </w:rPr>
        <w:t>E. 2.2</w:t>
      </w:r>
    </w:p>
    <w:p>
      <w:r>
        <w:t>Dans un second moyen, la recourante se plaint d'une application arbitraire du droit. Selon elle, l'arbitre unique aurait couvert de son autorité un abus de droit manifeste de l'intimé. A l'en croire, en effet, ce dernier aurait détourné le but du système de protection instauré par la CCT en matière de congés à caractère disciplinaire en se prévalant de fautes professionnelles prétendument commises par lui, mais que la recourante n'avait jamais alléguées, "pour tenter de se mettre sous le parapluie protecteur de la CCT et empêcher, de facto, l'employeur d'exercer un droit inaliénable qui est celui de pouvoir, librement, licencier un employé." (recours, n. 26 s.). Si tant est qu'il soit recevable, ce second moyen apparaît dénué de tout fondement. Contrairement à ce que soutient la recourante, l'intimé n'a pas usé du procédé de l'autoaccusation en vue de forger de toutes pièces un congé disciplinaire lui permettant d'introduire la procédure arbitrale ad hoc. Il a simplement soutenu, sur la base de tous les éléments probatoires versés au dossier de l'arbitrage, qu'en le licenciant, la recourante avait sans doute voulu sanctionner une ou plusieurs fautes commises par lui - fautes dont il n'admettait pas l'existence, au demeurant -, si bien que son licenciement constituait à ses yeux une mesure disciplinaire injustifiée qu'il entendait contester par la voie procédurale applicable à ce type de mesures. Un tel comportement n'avait rien de contradictoire ni, partant, d'abusif. En tout état de cause, le seul argument de droit ainsi invoqué par la recourante est totalement impropre à faire apparaître la sentence attaquée comme arbitraire.</w:t>
      </w:r>
    </w:p>
    <w:p>
      <w:r>
        <w:rPr>
          <w:b/>
        </w:rPr>
        <w:t>E. 3</w:t>
      </w:r>
    </w:p>
    <w:p>
      <w:r>
        <w:t>Dès lors, le présent recours ne peut qu'être rejeté dans la faible mesure de sa recevabilité. La recourante, qui succombe, devra donc payer les frais de la procédure fédérale ( art. 66 al. 1 LTF ) et indemniser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