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4A_272/2025 vom 19. August 2025</w:t>
      </w:r>
    </w:p>
    <w:p>
      <w:r>
        <w:t>Bundesgericht, 2025-08-19, DE</w:t>
      </w:r>
    </w:p>
    <w:p>
      <w:r>
        <w:rPr>
          <w:b/>
        </w:rPr>
        <w:t xml:space="preserve">Quelle: </w:t>
      </w:r>
      <w:r>
        <w:t>https://mcp.opencaselaw.ch/entscheid/bger_4A_272_2025</w:t>
      </w:r>
    </w:p>
    <w:p>
      <w:r>
        <w:t>FR: TF 4A_272/2025 du 19 août 2025</w:t>
      </w:r>
    </w:p>
    <w:p>
      <w:r>
        <w:t>IT: TF 4A_272/2025 del 19 agosto 2025</w:t>
      </w:r>
    </w:p>
    <w:p>
      <w:pPr>
        <w:pStyle w:val="Heading2"/>
      </w:pPr>
      <w:r>
        <w:t>Erwägungen</w:t>
      </w:r>
    </w:p>
    <w:p>
      <w:r>
        <w:rPr>
          <w:b/>
        </w:rPr>
        <w:t>E. 1</w:t>
      </w:r>
    </w:p>
    <w:p>
      <w:r>
        <w:t>Mit Entscheid vom 12. Dezember 2024 wies das Bezirksgericht Arbon das Gesuch der Beschwerdegegnerin um provisorische Rechtsöffnung in der Betreibung Nr. xxx des Betreibungsamts Bezirk X.________ gegen den Beschwerdeführer ab. Mit Entscheid vom 27. März 2025 hiess das Obergericht des Kantons Thurgau die von der Beschwerdegegnerin gegen den Entscheid des Bezirksgerichts X.________ erhobene Beschwerde gut, hob den Entscheid auf und erteilte der Beschwerdegegnerin in der Betreibung Nr. xxx des Betreibungsamts Bezirk X.________ für eine Forderung von Fr. 318'551.55 provisorische Rechtsöffnung. Mit Eingabe vom 2. Juni 2025 erklärte die Beschwerdeführerin dem Bundesgericht, den Entscheid des Obergerichts des Kantons Thurgau vom 27. März 2025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Die Beschwerdeführerin setzt sich in ihrer knapp einseitigen Beschwerdebegründung vom 2. Juni 2025 nicht hinreichend mit den Erwägungen des angefochtenen Entscheids auseinander. Sie unterbreitet dem Bundesgericht in unzulässiger Weise ihre eigene Sicht der Dinge und listet zahlreiche Bundes- und Verfassungsbestimmungen auf, welche die Vorinstanz verletzt haben soll. Sie bekräftigt damit den bereits im vorinstanzlichen Verfahren eingenommenen Standpunkt und setzt mit ihrer Kritik nicht hinreichend präzise an der ausführlichen Begründung der Vorinstanz an. Sie zeigt damit offensichtlich nicht rechtsgenüglich auf, inwiefern die Vorinstanz mit ihrem Entscheid Bundesrecht verletzt hätte.</w:t>
      </w:r>
    </w:p>
    <w:p>
      <w:r>
        <w:rPr>
          <w:b/>
        </w:rPr>
        <w:t>E. 2.5</w:t>
      </w:r>
    </w:p>
    <w:p>
      <w:r>
        <w:t>Auf die Beschwerde ist somit im vereinfachten Verfahren nach Art. 108 Abs. 1 lit. b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