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4A_272/2024 vom 17. Mai 2024</w:t>
      </w:r>
    </w:p>
    <w:p>
      <w:r>
        <w:t>Bundesgericht, 2024-05-17, DE</w:t>
      </w:r>
    </w:p>
    <w:p>
      <w:r>
        <w:rPr>
          <w:b/>
        </w:rPr>
        <w:t xml:space="preserve">Quelle: </w:t>
      </w:r>
      <w:r>
        <w:t>https://mcp.opencaselaw.ch/entscheid/bger_4A_272_2024</w:t>
      </w:r>
    </w:p>
    <w:p>
      <w:r>
        <w:t>FR: TF 4A_272/2024 du 17 mai 2024</w:t>
      </w:r>
    </w:p>
    <w:p>
      <w:r>
        <w:t>IT: TF 4A_272/2024 del 17 maggio 2024</w:t>
      </w:r>
    </w:p>
    <w:p>
      <w:pPr>
        <w:pStyle w:val="Heading2"/>
      </w:pPr>
      <w:r>
        <w:t>Erwägungen</w:t>
      </w:r>
    </w:p>
    <w:p>
      <w:r>
        <w:rPr>
          <w:b/>
        </w:rPr>
        <w:t>E. 1</w:t>
      </w:r>
    </w:p>
    <w:p>
      <w:r>
        <w:t>Mit Entscheid vom 5. April 2024 trat das Kantonsgericht Luzern auf eine vom Beschwerdeführer erhobene Schadenersatzklage nicht ein.</w:t>
      </w:r>
    </w:p>
    <w:p>
      <w:r>
        <w:t>Mit Eingabe vom 8. Mai 2024 erklärte der Beschwerdeführer dem Bundesgericht, den Entscheid des Kantonsgerichts Luzern vom 5. April 2024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seiner Beschwerdeeingabe vom 8. Mai 2024 nicht hinreichend mit den Erwägungen des angefochtenen Entscheids des Kantonsgerichts Luzern vom 5. April 2024 auseinander und zeigt nicht rechtsgenügend auf, inwiefern die Vorinstanz mit ihrem Nichteintretensentscheid Bundesrecht verletzt hätte, sondern unterbreitet dem Bundesgericht in unzulässiger Weise seine eigene Sicht der Dinge. Er erwähnt zwar zahlreiche Gesetzes- und Verfassungsbestimmungen wie auch Bestimmungen von Staatsverträgen, zeigt jedoch offensichtlich nicht hinreichend auf, inwiefern die Vorinstanz diese verletzt haben soll.</w:t>
      </w:r>
    </w:p>
    <w:p>
      <w:r>
        <w:t>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Den Beschwerdegegnern steht keine Parteientschädigung zu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