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271/2024 vom 28. Mai 2024</w:t>
      </w:r>
    </w:p>
    <w:p>
      <w:r>
        <w:t>Bundesgericht, 2024-05-28, DE</w:t>
      </w:r>
    </w:p>
    <w:p>
      <w:r>
        <w:rPr>
          <w:b/>
        </w:rPr>
        <w:t xml:space="preserve">Quelle: </w:t>
      </w:r>
      <w:r>
        <w:t>https://mcp.opencaselaw.ch/entscheid/bger_4A_271_2024</w:t>
      </w:r>
    </w:p>
    <w:p>
      <w:r>
        <w:t>FR: TF 4A 271/2024 du 28 mai 2024</w:t>
      </w:r>
    </w:p>
    <w:p>
      <w:r>
        <w:t>IT: TF 4A 271/2024 del 28 maggio 2024</w:t>
      </w:r>
    </w:p>
    <w:p>
      <w:pPr>
        <w:pStyle w:val="Heading2"/>
      </w:pPr>
      <w:r>
        <w:t>Regeste</w:t>
      </w:r>
    </w:p>
    <w:p>
      <w:r>
        <w:t>Anfechtung der Kündigung und Erstreckung, | Vertragsrecht</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 Der Beschwerdeführer richtet sein Rechtsmittel zum einen gegen den Beschluss vom 29. November 2022 und zum anderen gegen das Urteil vom 2. April 2024 des Obergerichts des Kantons Schaffhausen. Angefochten werden mit dem Beschluss ein Zwischen- ( Art. 93 BGG ) und mit dem Urteil ein Endentscheid ( Art. 90 BGG ) einer letzten kantonalen Instanz. In beiden Verfahren hat das Obergericht über dasselbe Mietrechtsbegehren und damit eine der Beschwerde in Zivilsachen unterliegende vermögensrechtliche Angelegenheit entschieden ( Art. 72 Abs. 1 BGG ). Der Beschwerdeführer kann den Beschluss vom 29. November 2022 durch Beschwerde gegen den Endentscheid vom 2. April 2024 anfechten, soweit er sich auf dessen Inhalt auswirkt ( Art. 93 Abs. 3 BGG ). Der Beschwerdeführer hat seine Beschwerde rechtzeitig eingereicht ( Art. 100 Abs. 1 BGG ). Der Streitwert beträgt mehr als Fr. 15'000.-- ( Art. 74 Abs. 1 lit. a BGG ). Der Beschwerdeführer ist zudem im vorinstanzlichen Verfahren mit seinen Anträgen unterlegen ( Art. 76 Abs. 1 BGG ). Unter Vorbehalt einer ausreichenden Begründung ( Art. 42 Abs. 2 und Art. 106 Abs. 2 BGG ) ist auf die Beschwerde somit einzutreten.</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142 III 210 E. 2.2; 140 III 16 E. 1.3.1 mit Hinweisen; vgl. auch BGE 149 III 405 E. 4.4).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3.1</w:t>
      </w:r>
    </w:p>
    <w:p>
      <w:r>
        <w:t>Der Beschwerdeführer macht geltend, die Beschwerdegegnerin habe ihr Kündigungsschreiben nicht datiert. Folglich sei die Kündigung der Wohnung nichtig oder zumindest anfechtbar. Vermieter von Wohn- und Geschäftsräumen müssen schriftlich mit einem vom Kanton genehmigten Formular kündigen. Dieses Formular muss angeben, wie der Mieter vorzugehen hat, wenn er die Kündigung anfechten oder eine Erstreckung des Mietverhältnisses verlangen will ( Art. 266l OR ). Dabei umschreibt Art. 9 Abs. 1 VMWG im Einzelnen, was auf einem solchen Formular stehen muss. Das Ausstelldatum der Kündigung zählt nicht zum zwingend erforderlichen Formularinhalt. Auch das Schriftformerfordernis von Art. 266l Abs. 1 OR in Verbindung mit Art. 13 Abs. 1 OR begründet keine Pflicht zur Datierung. Die Angabe von Ort oder Zeit ist nur erforderlich, wenn eine entsprechende gesetzliche Vorschrift besteht, wie dies etwa bei einem Testament der Fall ist ( Art. 505 Abs. 1 ZGB ; vgl. BGE 95 II 426 E. 3b). Eine solche Datierungsvorschrift fehlt vorliegend. Das fehlende Datum führt somit nicht zur Ungültigkeit der Kündigung des Mietvertrages.</w:t>
      </w:r>
    </w:p>
    <w:p>
      <w:r>
        <w:rPr>
          <w:b/>
        </w:rPr>
        <w:t>E. 3.2</w:t>
      </w:r>
    </w:p>
    <w:p>
      <w:r>
        <w:t>Der Beschwerdeführer rügt weiter, bei der Gegenpartei liege ein Interessenkonflikt vor. Er habe ihrem Rechtsvertreter, Rechtsanwalt Dr. Breining, früher einmal im Zusammenhang mit einer Forderung gegen seine Frau zahlreiche Akten zugestellt. Dieser Anwalt mache sich nun das so erworbene Wissen im vorliegenden Verfahren gegen ihn zunutze. Aufgrund dieses Interessenkonflikts sei die Beschwerdegegnerin nicht rechtsgenügend vertreten. Der Beschwerdeführer legt mit seinen pauschalen Ausführungen die genauen Umstände des behaupteten Interessenkonflikts nicht näher dar. Damit erübrigt es sich, auf diesen nicht nachvollziehbaren Vorwurf einzugehen.</w:t>
      </w:r>
    </w:p>
    <w:p>
      <w:r>
        <w:rPr>
          <w:b/>
        </w:rPr>
        <w:t>E. 3.3</w:t>
      </w:r>
    </w:p>
    <w:p>
      <w:r>
        <w:t>Sodann rügt der Beschwerdeführer, der Vorsitzende der Schlichtungsbehörde habe die Verhandlung abgebrochen, bevor C.________ seinen Standpunkt habe begründen können. Er habe zudem keine Vergleichsgespräche mit ihnen geführt und ihnen auch keinen Urteilsvorschlag unterbreitet. Vielmehr habe er direkt die Klagebewilligung ausgestellt. Da das Schlichtungsverfahren nicht korrekt durchgeführt worden sei, müsse es wiederholt werden. Die Vorinstanz hat im angefochtenen Urteil vom 2. April 2024 dargelegt, weshalb es auf den Antrag des Beschwerdeführers auf Rückweisung des Verfahrens an die Schlichtungsbehörde nicht eingetreten ist. Der Beschwerdeführer setzt sich mit dieser Begründung nicht auseinander. Stattdessen wiederholt er vor Bundesgericht seine bereits im erstinstanzlichen Verfahren vorgebrachte Sachdarstellung. Damit verfehlt er die gesetzlichen Begründungsanforderungen (siehe vorne E. 2.1).</w:t>
      </w:r>
    </w:p>
    <w:p>
      <w:r>
        <w:rPr>
          <w:b/>
        </w:rPr>
        <w:t>E. 3.4</w:t>
      </w:r>
    </w:p>
    <w:p>
      <w:r>
        <w:t>Der Beschwerdeführer bringt überdies vor, die Beschwerdegegnerin habe die vertraglich vereinbarte Kündigungsfrist von vier Monaten nicht eingehalten. Soweit er damit sinngemäss geltend macht, die Kündigung sei aufgrund der missachteten Frist unwirksam, kann ihm nicht gefolgt werden: Halten die Mietvertragsparteien die Frist oder den Termin nicht ein, gilt die Kündigung für den nächstmöglichen Termin ( Art. 266a Abs. 2 OR ). Eine solche Kündigung ist mit anderen Worten nicht unwirksam.</w:t>
      </w:r>
    </w:p>
    <w:p>
      <w:r>
        <w:rPr>
          <w:b/>
        </w:rPr>
        <w:t>E. 3.5</w:t>
      </w:r>
    </w:p>
    <w:p>
      <w:r>
        <w:t>Der Beschwerdeführer stellt sich auf den Standpunkt, er habe mit C.________ anfangs April 1997 einen mündlichen Mietkaufvertrag geschlossen. Sie hätten vereinbart, dass dem Beschwerdeführer die Wohnung gehöre, wenn er über die Jahre hinweg Unterhaltsarbeiten an der ganzen Liegenschaft ausführe und Mietzinsen bis zu einem Betrag von maximal Fr. 300'000.-- für die Wohnung bezahle. Gemäss Art. 11 OR sei auch ein solcher mündlicher Vertrag gültig. Es kann offenbleiben, ob die Parteien einen mündlichen Vertrag mit einem derartigen Inhalt abgeschlossen haben. Selbst wenn dies der Fall wäre, könnte der Beschwerdeführer daraus nichts zu seinen Gunsten ableiten: Ein solcher Vertrag hätte öffentlich beurkundet werden müssen ( Art. 216 Abs. 1 und 2 OR ). Der behauptete mündliche Vertrag verschafft dem Beschwerdeführer somit keinen Anspruch auf einen Verbleib in der Wohnung als deren neuer Eigentümer.</w:t>
      </w:r>
    </w:p>
    <w:p>
      <w:r>
        <w:rPr>
          <w:b/>
        </w:rPr>
        <w:t>E. 3.6</w:t>
      </w:r>
    </w:p>
    <w:p>
      <w:r>
        <w:t>Weiter macht der Beschwerdeführer geltend, die Kündigung sei missbräuchlich. Die Wohnung sei massiv in die Jahre gekommen. So habe sich ihr Spannteppich inzwischen weitgehend aufgelöst. Auch seien die Kochherdplatte und der Backofen defekt. Der Beschwerdeführer habe die Beschwerdegegnerin schon mehrfach erfolglos ersucht, den Mietzins an das inzwischen sehr viel tiefere Hypothekarzinsniveau anzupassen. Er habe C.________ im Sommer 2018 aufgefordert, ihn endlich für die jahrzehntelange Arbeit als sein Handwerker und Hauswart zu entschädigen. Er habe für ihn Arbeit im Wert von Fr. 131'000.-- geleistet, die C.________ bis heute nicht bezahlt habe. Mit diesen pauschalen Vorwürfen, die teilweise auch unzulässige Noven ( Art. 99 Abs. 1 BGG ) enthalten, erhebt der Beschwerdeführer appellatorische Kritik am angefochtenen Entscheid. Er setzt sich nicht rechtsgenügend mit dessen Erwägungen auseinander. Folglich sind auch diese Ausführungen unbeachtlich.</w:t>
      </w:r>
    </w:p>
    <w:p>
      <w:r>
        <w:rPr>
          <w:b/>
        </w:rPr>
        <w:t>E. 3.7</w:t>
      </w:r>
    </w:p>
    <w:p>
      <w:r>
        <w:t>Schliesslich wirft der Beschwerdeführer dem Kantonsgericht vor, dieses hätte ihn in seinem Anspruch auf rechtliches Gehör verletzt. Nach der Rückweisung durch das Obergericht hätte das Kantonsgericht nicht ohne weitere Verhandlung oder zumindest Abklärungen ein Urteil fällen dürfen. Vielmehr hätte das Kantonsgericht ihn aufgrund des Untersuchungsgrundsatzes und der richterlichen Fragepflicht zu seiner aktuellen persönlichen Situation anhören müssen. Die Vorinstanz hat sich eingehend mit diesem Vorwurf befasst und ihn widerlegt. Der Beschwerdeführer setzt sich mit den entsprechenden Erwägungen nicht auseinander, sondern wiederholt bloss seine frühere eigene Sachdarstellung. Auch damit verfehlt er die gesetzlichen Begründungsanforderungen (siehe vorne E. 2.1).</w:t>
      </w:r>
    </w:p>
    <w:p>
      <w:r>
        <w:rPr>
          <w:b/>
        </w:rPr>
        <w:t>E. 4</w:t>
      </w:r>
    </w:p>
    <w:p>
      <w:r>
        <w:t>Die Beschwerde gegen das Urteil vom 2. April 2024 erweist sich als offensichtlich unbegründet, weshalb sie im Verfahren nach Art. 109 Abs. 2 lit. a BGG abzuweisen ist, soweit darauf eingetreten werden kann. Zielführende Rügen gegen den mitangefochtenen Rückweisungsbeschluss vom 29. November 2022 sind nicht ersichtlich, weshalb die Beschwerde auch insofern erfolglos bleibt. Mit dem Entscheid in der Sache wird das Gesuch um aufschiebende Wirkung gegenstandslos.</w:t>
      </w:r>
    </w:p>
    <w:p>
      <w:r>
        <w:rPr>
          <w:b/>
        </w:rPr>
        <w:t>E. 5</w:t>
      </w:r>
    </w:p>
    <w:p>
      <w:r>
        <w:t>Das Gesuch um unentgeltliche Rechtspflege für das bundesgerichtliche Verfahren ist wegen Aussichtslosigkeit abzuweisen ( Art. 64 Abs. 1 BGG ). Dem Ausgang des Verfahrens entsprechend wird der Beschwerdeführer kostenpflichtig ( Art. 66 Abs. 1 BGG ). Der Beschwerdegegnerin steht keine Parteientschädigung zu, da ihr im bundesgerichtlichen Verfahren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