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271/2023 vom 14. November 2023</w:t>
      </w:r>
    </w:p>
    <w:p>
      <w:r>
        <w:t>Bundesgericht, 2023-11-14, DE</w:t>
      </w:r>
    </w:p>
    <w:p>
      <w:r>
        <w:rPr>
          <w:b/>
        </w:rPr>
        <w:t xml:space="preserve">Quelle: </w:t>
      </w:r>
      <w:r>
        <w:t>https://mcp.opencaselaw.ch/entscheid/bger_4A_271_2023</w:t>
      </w:r>
    </w:p>
    <w:p>
      <w:r>
        <w:t>FR: TF 4A 271/2023 du 14 novembre 2023</w:t>
      </w:r>
    </w:p>
    <w:p>
      <w:r>
        <w:t>IT: TF 4A 271/2023 del 14 novembre 2023</w:t>
      </w:r>
    </w:p>
    <w:p>
      <w:pPr>
        <w:pStyle w:val="Heading2"/>
      </w:pPr>
      <w:r>
        <w:t>Regeste</w:t>
      </w:r>
    </w:p>
    <w:p>
      <w:r>
        <w:t>Forderung aus Krankentaggeldversicherung, | Vertragsrecht</w:t>
      </w:r>
    </w:p>
    <w:p>
      <w:pPr>
        <w:pStyle w:val="Heading2"/>
      </w:pPr>
      <w:r>
        <w:t>Erwägungen</w:t>
      </w:r>
    </w:p>
    <w:p>
      <w:r>
        <w:rPr>
          <w:b/>
        </w:rPr>
        <w:t>E. 1.1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(KVAG; SR 832.12) dem Versicherungsvertragsgesetz vom 2. April 1908 (VVG; SR 221.229.1). Streitigkeiten aus solchen Versicherungen sind privatrechtlicher Natur, weshalb als Rechtsmittel an das Bundesgericht die Beschwerde in Zivilsachen gemäss Art. 72 ff. BGG in Betracht kommt ( BGE 138 III 2 E. 1.1; 133 III 349 E. 2.1).</w:t>
      </w:r>
    </w:p>
    <w:p>
      <w:r>
        <w:rPr>
          <w:b/>
        </w:rPr>
        <w:t>E. 1.2</w:t>
      </w:r>
    </w:p>
    <w:p>
      <w:r>
        <w:t>Die Beschwerde richtet sich gegen einen verfahrensabschliessenden Endentscheid ( Art. 90 BGG ). Das Versicherungsgericht des Kantons St. Gallen hat nach Art. 9 des Einführungsgesetzes zur Schweizerischen Zivilprozessordnung (EG-ZPO/SG, sGs 961.2) als einzige kantonale Instanz im Sinne von Art. 7 ZPO und Art. 75 Abs. 2 lit. a BGG entschieden. Die Beschwerde ist daher streitwertunabhängig zulässig ( Art. 72 Abs. 2 lit. b BGG ; BGE 138 III 2 E. 1.2.2; 799 E. 1.1). Die Klage des Beschwerdeführers wurde abgewiesen ( Art. 76 Abs. 1 BGG ). Die Beschwerdefrist ist eingehalten ( Art. 100 Abs. 1 BGG ). Auf die Beschwerde ist - unter Vorbehalt einer genügenden Begründung (vgl. E. 2 hiernach) - einzutreten.</w:t>
      </w:r>
    </w:p>
    <w:p>
      <w:r>
        <w:rPr>
          <w:b/>
        </w:rPr>
        <w:t>E. 2.1</w:t>
      </w:r>
    </w:p>
    <w:p>
      <w:r>
        <w:t>Das Bundesgericht wendet das Recht von Amtes wegen an ( Art. 106 Abs. 1 BGG ; vgl. dazu BGE 133 III 545 E. 2.2; 133 II 249 E. 1.4.1). Allerdings prüft es, unter Berücksichtigung der allgemeinen Begründungsanforderungen (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2.3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3.1</w:t>
      </w:r>
    </w:p>
    <w:p>
      <w:r>
        <w:t>Am 1. Januar 2022 ist das revidierte Versicherungsvertragsgesetz in Kraft getreten. Gemäss der Übergangsbestimmung von Art. 103a VVG gelten für Verträge, die vor dem Inkrafttreten der Änderung vom 19. Juni 2020 abgeschlossen wurden, folgende Bestimmungen des neuen Rechts: die Formvorschriften (lit. a) und das Kündigungsrecht nach den Artikeln 35a und 35b VVG (lit. b). Alle anderen Bestimmungen gelten nur für neu abgeschlossene Verträge (vgl. Botschaft zur Änderung des Versicherungsvertragsgesetzes vom 28. Juni 2017, BBl 2017 5089 ff., 5136). Der dem vorliegenden Rechtsstreit zugrunde liegende Versicherungsvertrag wurde vor dem 19. Juni 2020 abgeschlossen. Mit Ausnahme der Formvorschriften und des Kündigungsrechts sind daher die Bestimmungen des VVG in der bis Ende 2021 geltenden Fassung (nachfolgend aVVG) anwendbar. Mit Ausnahme von Art. 87 aVVG, der das selbstständige Forderungsrecht des Begünstigten in der kollektiven Unfall- oder Krankenversicherung normiert, enthält das aVVG keine spezifischen Bestimmungen zum Krankentaggeld. Massgebend sind daher in erster Linie die vertraglichen Vereinbarungen der Parteien. Die Versicherungsbedingungen und Leistungen richten sich vorliegend insbesondere nach den Allgemeinen Vertragsbedingungen zur Krankentaggeldversicherung, Ausgabe von Juli 2010 (nachfolgend AVB).</w:t>
      </w:r>
    </w:p>
    <w:p>
      <w:r>
        <w:rPr>
          <w:b/>
        </w:rPr>
        <w:t>E. 3.2</w:t>
      </w:r>
    </w:p>
    <w:p>
      <w:r>
        <w:t>Ist der Versicherte nach ärztlicher Feststellung arbeitsunfähig, bezahlt die Beschwerdegegnerin gemäss Art. B8 Ziff. 1 f. AVB das Taggeld nach Ablauf der vereinbarten Wartefrist längstens während der in der Police aufgeführten Leistungsdauer. Bei voller Arbeitsunfähigkeit bezahlt die Beschwerdegegnerin das in der Police aufgeführte Taggeld. Bei teilweiser Arbeitsunfähigkeit richtet sich die Höhe nach dem Ausmass der Arbeitsunfähigkeit. Die Arbeitsunfähigkeit bestimmt sich gemäss Art. A4 Ziff. 2 AVB als die durch eine Krankheit bedingte, volle oder teilweise Unfähigkeit, im bisherigen Beruf oder Aufgabenbereich zumutbare Arbeit zu leisten. Bei langer Dauer wird auch die zumutbare Tätigkeit in einem anderen Beruf oder Aufgabenbereich berücksichtigt.</w:t>
      </w:r>
    </w:p>
    <w:p>
      <w:r>
        <w:rPr>
          <w:b/>
        </w:rPr>
        <w:t>E. 4</w:t>
      </w:r>
    </w:p>
    <w:p>
      <w:r>
        <w:t>Umstritten ist der Umfang der Arbeitsunfähigkeit des Beschwerdeführers in seinem bisherigen Beruf für den massgebenden Zeitraum vom 19. Juni 2020 bis 5. März 2021.</w:t>
      </w:r>
    </w:p>
    <w:p>
      <w:r>
        <w:rPr>
          <w:b/>
        </w:rPr>
        <w:t>E. 4.1</w:t>
      </w:r>
    </w:p>
    <w:p>
      <w:r>
        <w:t>Die Vorinstanz erwog gestützt auf eine Gesamtwürdigung der eingereichten medizinischen Akten, dass die Beschwerdegegnerin zu Recht für den massgebenden Zeitraum von einer Arbeitsfähigkeit des Beschwerdeführers von 50 % ausgegangen sei. Diese attestierte Arbeitsfähigkeit gelte sodann in der angestammten Tätigkeit des Beschwerdeführers. In diesem Zusammenhang hielt sie fest, dass nach der Beur teilung von Dr. E.________ vom 19. Juni 2020 eine adaptierte Tätigkeit möglichst keine Nachtschicht voraussetze, die Arbeitszeiten regelmässig, der Arbeitgeber wohlwollend und verständnisvoll und der Arbeitsplatz ruhig sein solle. Die Tätigkeit solle zumindest anfänglich auch keine Leistungs- und Führungsaufgaben beinhalten. Aus dem von der Arbeitgeberin am 25. Juli 2019 ausgefüllten Fragebogen gehe hervor, dass der Beschwerdeführer bei ihr als Teamleiter CNC angestellt gewesen sei. Seine Tätigkeit habe oft das Führen von Mitarbeitenden (34 bis 66 % bzw. 3 bis 5.25 Stunden täglich), manchmal das Programmieren und Bürotätigkeiten (je 6 bis 33 % bzw. 0.5 bis 3 Stunden täglich) und selten das Einfahren der CNC-Maschine (1 bis 5 % bzw. bis ca. 0.5 Stunden täglich) umfasst. Diese Tätigkeitsangaben würden einen relativ grossen zeitlichen Spielraum beinhalten, sodass der Umfang der aus psychiatrischer Sicht nicht möglichen Leitungs- und Führungsaufgaben nicht genau bestimmt werden könne. Es sei jedoch davon auszugehen, dass der Beschwerdeführer seine angestammte (gekündigte) Tätigkeit bzw. eine vergleichbare Tätigkeit in seinem angestammten Beruf seit dem 19. Juni 2020 zu einem Beschäftigungsgrad von 50 % hätte ausüben können.</w:t>
      </w:r>
    </w:p>
    <w:p>
      <w:r>
        <w:rPr>
          <w:b/>
        </w:rPr>
        <w:t>E. 4.2.1</w:t>
      </w:r>
    </w:p>
    <w:p>
      <w:r>
        <w:t>Der Beschwerdeführer rügt eine willkürliche Sachverhaltsfeststellung. Die Vorinstanz gehe zu Unrecht davon aus, dass er aus gesundheitlichen Gründen nur nicht in der Lage gewesen sei, Mitarbeiter zu führen. Tatsächlich seien auch die übrigen Tätigkeiten (Programmier- und Bürotätigkeiten sowie das Einfahren der CNC-Maschine) nicht mit den gesundheitlich notwendigen Adaptionskriterien vereinbar. So würden auch diese Tätigkeiten unregelmässige Arbeitszeiten erfordern und mit hohem Verantwortungsdruck, besonderen Anforderungen an die gedankliche Flexibilität und regelmässigem Publikumsverkehr einhergehen.</w:t>
      </w:r>
    </w:p>
    <w:p>
      <w:r>
        <w:rPr>
          <w:b/>
        </w:rPr>
        <w:t>E. 4.2.2</w:t>
      </w:r>
    </w:p>
    <w:p>
      <w:r>
        <w:t>Der Beschwerdeführer legt nicht hinreichend dar, inwiefern Programmier- und Bürotätigkeiten sowie das Einfahren der CNC-Maschine mit den gesundheitlich notwendigen Anpassungskriterien unvereinbar sein sollen. Vielmehr begnügt er sich mit der blossen Behauptung einer solchen Unvereinbarkeit. Damit genügt er aber den strengen Begründungsanforderungen an eine Willkürrüge nicht (vgl. E. 2.3 hiervor). Insbesondere zeigt er nicht auf, inwiefern die Annahme der Vorinstanz, diese Tätigkeiten erforderten nicht zwingend einen hohen Verantwortungsdruck, besondere Anforderungen an die gedankliche Flexibilität oder einen regelmässigen Publikumsverkehr, offensichtlich unhaltbar sein soll. Auf die Rüge kann daher nicht eingetreten werden.</w:t>
      </w:r>
    </w:p>
    <w:p>
      <w:r>
        <w:rPr>
          <w:b/>
        </w:rPr>
        <w:t>E. 4.3.1</w:t>
      </w:r>
    </w:p>
    <w:p>
      <w:r>
        <w:t>Der Beschwerdeführer rügt eine falsche Anwendung des Art. A4 Ziff. 2 AVB durch die Vorinstanz. Wer aus gesundheitlichen Gründen nur noch einen untergeordneten Teil der für den bisherigen Beruf erforderlichen Tätigkeiten ausüben könne, sei in diesem vollständig arbeitsunfähig. So sei ein Koch, der aus gesundheitlichen Gründen nicht mehr in der Küche arbeiten könne, aber noch in der Lage sei, am Computer Lebensmittelbestellungen aufzugeben, in seinem bisherigen Beruf als Koch ebenso als vollständig arbeitsunfähig anzusehen, wie ein Teamleiter CNC, der keine Führungsaufgaben mehr wahrnehmen könne. Der Beschwerdeführer macht somit im Wesentlichen geltend, die Vorinstanz sei von einem falschen Begriff der Arbeitsunfähigkeit im bisherigen Beruf ausgegangen. Währenddem der Gesundheitszustand des Versicherten, der Aufgabenkatalog des bisherigen Berufs sowie die Feststellung, welche Arbeitstätigkeiten in welchem Umfang aufgrund des Gesundheitszustands nicht mehr ausgeübt werden können, Sachverhaltsfeststellungen darstellen, bildet der Begriff der Arbeitsunfähigkeit einen Rechtsbegriff, der vom Bundesgericht frei überprüft werden kann (ULRICH MEYER - BLASER, Der Rechtsbegriff der Arbeitsunfähigkeit und seine Bedeutung in der Sozialversicherung, namentlich für den Einkommensvergleich in der Invaliditätsbemessung, in: Schaffhauser/Schlauri [Hrsg.], Schmerz und Arbeitsunfähigkeit, 2003, S. 47 ff.; vgl. auch BGE 140 V 193 E. 3.1). Entsprechend ist nachfolgend der Begriff der Arbeitsunfähigkeit gemäss Art. A4 Ziff. 2 AVB auszulegen.</w:t>
      </w:r>
    </w:p>
    <w:p>
      <w:r>
        <w:rPr>
          <w:b/>
        </w:rPr>
        <w:t>E. 4.3.2</w:t>
      </w:r>
    </w:p>
    <w:p>
      <w:r>
        <w:t>Bei den AVB handelt es sich um allgemeine Geschäftsbedingungen und damit um Vertragsbestimmungen, die im Hinblick auf den künftigen Abschluss einer Vielzahl von Verträgen generell vorformuliert wurden ( BGE 148 III 57 E. 2). Allgemeine Geschäftsbedingungen sind, wenn sie rechtsgültig in Verträge übernommen wurden, grundsätzlich nach den gleichen Regeln auszulegen wie individuell verfasste Vertragsklauseln ( BGE 148 III 57 E. 2.2.1; 142 III 671 E. 3.3; je mit Hinweisen). Entscheidend ist demnach in erster Linie der übereinstimmende wirkliche Wille der Vertragsparteien und in zweiter Linie, falls ein solcher nicht festgestellt werden kann, die Auslegung der Erklärungen der Parteien aufgrund des Vertrauensprinzips ( BGE 148 III 57 E. 2.2.1; 142 III 671 E. 3.3). Dabei ist vom Wortlaut der Erklärungen auszugehen, die jedoch nicht isoliert, sondern aus ihrem konkreten Sinngefüge heraus zu beurteilen sind ( BGE 148 III 57 E. 2.2.1; 146 V 28 E. 3.2). Auch wenn der Wortlaut auf den ersten Blick klar erscheint, darf es also nicht bei einer reinen Wortauslegung sein Bewenden haben ( BGE 148 III 57 E. 2.2.1; 131 III 606 E. 4.2). Vielmehr sind die Erklärungen der Parteien so auszulegen, wie sie nach ihrem Wortlaut und Zusammenhang sowie den gesamten Umständen verstanden werden durften und mussten. Das Gericht hat auch den vom Erklärenden verfolgten Regelungszweck zu beachten, wie ihn der Erklärungsempfänger in guten Treuen verstehen durfte und musste ( BGE 148 III 57 E. 2.2.1; 146 V 28 E. 3.2). Für die Auslegung einer von der einen Vertragspartei aufgesetzten Vertragsbestimmung ist demnach entscheidend, welches Regelungsziel die andere Vertragspartei darin als redliche Geschäftspartnerin vernünftigerweise erkennen durfte und musste. Dabei ist für den Regelfall anzunehmen, dass der Erklärungsempfänger davon ausgehen durfte, der Erklärende strebe eine vernünftige, sachgerechte Regelung an ( BGE 148 III 57 E. 2.2.1; mit Hinweisen).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148 III 57 E. 2.2.1; 146 V 28 E. 3.2).</w:t>
      </w:r>
    </w:p>
    <w:p>
      <w:r>
        <w:rPr>
          <w:b/>
        </w:rPr>
        <w:t>E. 4.3.3</w:t>
      </w:r>
    </w:p>
    <w:p>
      <w:r>
        <w:t>Gemäss Art. A4 Ziff. 2 AVB stellt die Arbeitsunfähigkeit die durch eine Krankheit bedingte, volle oder teilweise Unfähigkeit dar, im bisherigen Beruf oder Aufgabenbereich zumutbare Arbeit zu leisten. Aus dem Wortlaut von Art. A4 Ziff. 2 AVB ergibt sich somit, dass solange und soweit von einer teilweisen Arbeitsfähigkeit auszugehen ist, als der Arbeitnehmer aufgrund seiner verbliebenen Fähigkeiten noch zumutbare Arbeit in seinem bisherigen Beruf leisten kann. Hieraus folgt zugleich, dass allein die krankheitsbedingte Unfähigkeit des Arbeitnehmers, eine bestimmte (wenn auch wesentliche) Funktion in seinem bisherigen Beruf auszuüben, grundsätzlich nicht zu einer vollständigen Arbeitsunfähigkeit führt. Anders wäre höchstens dann zu entscheiden, wenn infolge der Krankheit eine für die Berufsausübung derart zwingende bzw. dominierende Eigenschaft wegfällt, dass die verbliebene Arbeitsfähigkeit im bisherigen Beruf wirtschaftlich nicht verwertbar oder unzumutbar wäre. Eine wirtschaftlich verwertbare Restarbeitsfähigkeit in der bisherigen Tätigkeit schliesst somit in der Regel einen Anspruch auf das volle versicherte Krankengeld aus (vgl. BGE 114 V 281 E. 3d). Für eine solche Auslegung spricht auch der Zweck der abgeschlossenen Taggeldversicherung. So dient eine Taggeldversicherung dem Einkommensersatz und löst die Lohnfortzahlungspflicht eines Arbeitgebers nur soweit und solange ab, als es dem Arbeitnehmer aus gesundheitlichen Gründen nicht möglich ist, die vertraglich übernommenen Verpflichtungen zum Teil oder ganz zu erfüllen oder aber anderweitig erwerbstätig zu sein. Sie ist jedoch nicht dazu bestimmt, einem Leistungsansprecher auch dann einen Lohnausfall auszugleichen, wenn er wieder ein Erwerbseinkommen erzielen könnte (Urteil 9C_595/2008 vom 5. November 2008 E. 4.1). Dem Beschwerdeführer kann daher nicht gefolgt werden, soweit er geltend macht, er sei in seinem bisherigen Beruf vollständig arbeitsunfähig, weil er keine Führungsaufgaben wahrnehmen könne. So zeigt er in seiner Beschwerde nicht hinreichend auf, inwiefern die Wahrnehmung von Führungsaufgaben ein derart zwingendes Merkmal seiner Berufsausübung darstellt, dass die verbleibende Arbeitsfähigkeit in seinem bisherigen Beruf wirtschaftlich nicht verwertbar oder unzumutbar gewesen wäre. Es bleibt somit beim Schluss der Vorinstanz, dass der Beschwerdeführer im massgeblichen Zeitraum zu 50 % arbeitsfähig war und darauf gestützt zu Recht die Klage des Beschwerdeführers mangels Taggeldanspruchs abwies. Es erübrigen sich damit Ausführungen zu den vom Beschwerdeführer geltend gemachten Beanstandungen zur Zumutbarkeit des Berufswechsels.</w:t>
      </w:r>
    </w:p>
    <w:p>
      <w:r>
        <w:rPr>
          <w:b/>
        </w:rPr>
        <w:t>E. 4.4</w:t>
      </w:r>
    </w:p>
    <w:p>
      <w:r>
        <w:t>Zusammenfassend hat die Vorinstanz kein Bundesrecht verletzt, indem sie für die massgebende Periode von einer Arbeitsunfähigkeit des Beschwerdeführers von 50 % in seinem bisherigen Beruf ausging und daher einen Taggeldanspruch verneinte.</w:t>
      </w:r>
    </w:p>
    <w:p>
      <w:r>
        <w:rPr>
          <w:b/>
        </w:rPr>
        <w:t>E. 5</w:t>
      </w:r>
    </w:p>
    <w:p>
      <w:r>
        <w:t>Nach dem Gesagten ist die Beschwerde abzuweisen, soweit auf sie eingetreten werden kann.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