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271/2011 vom 16. August 2011</w:t>
      </w:r>
    </w:p>
    <w:p>
      <w:r>
        <w:t>Bundesgericht, 2011-08-16, FR</w:t>
      </w:r>
    </w:p>
    <w:p>
      <w:r>
        <w:rPr>
          <w:b/>
        </w:rPr>
        <w:t xml:space="preserve">Quelle: </w:t>
      </w:r>
      <w:r>
        <w:t>https://mcp.opencaselaw.ch/entscheid/bger_4A_271_2011</w:t>
      </w:r>
    </w:p>
    <w:p>
      <w:r>
        <w:t>FR: TF 4A 271/2011 du 16 août 2011</w:t>
      </w:r>
    </w:p>
    <w:p>
      <w:r>
        <w:t>IT: TF 4A 271/2011 del 16 agosto 2011</w:t>
      </w:r>
    </w:p>
    <w:p>
      <w:pPr>
        <w:pStyle w:val="Heading2"/>
      </w:pPr>
      <w:r>
        <w:t>Regeste</w:t>
      </w:r>
    </w:p>
    <w:p>
      <w:r>
        <w:t>devoir de diligence du banquier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Le demandeur prétend avoir subi un dommage correspondant au montant total investi le 18 juillet 2006 dans l'acquisition de deux milliards d'actions N.________ Inc., augmenté de frais d'avocats qu'il a vainement engagés, aux Etats-Unis, en vue de récupérer ce placement. Il tient la défenderesse pour responsable de ce dommage, faute de l'avoir averti des risques encourus, et il lui en demande réparation. Au regard de l' art. 398 al. 2 CO concernant la responsabilité du mandataire, le succès de l'action suppose que la défenderesse se soit écartée d'une bonne et fidèle exécution de ses obligations contractuelles.</w:t>
      </w:r>
    </w:p>
    <w:p>
      <w:r>
        <w:rPr>
          <w:b/>
        </w:rPr>
        <w:t>E. 3</w:t>
      </w:r>
    </w:p>
    <w:p>
      <w:r>
        <w:t>Selon la jurisprudence du Tribunal fédéral, la banque qui s'engage uniquement à exécuter les instructions ponctuelles d'un investisseur, sans se charger d'un mandat de gestion, n'est pas tenue à une sauvegarde générale des intérêts de son client. En principe, la banque ne doit alors fournir des renseignements que si son client le lui demande. L'étendue du devoir d'information se détermine d'après les connaissances et l'expérience du client, qui n'a pas besoin d'être informé s'il connaît déjà les risques liés aux placements qu'il opère; s'il apparaît qu'il n'a pas connaissance des risques auxquels il s'expose, la banque doit l'y rendre attentif. L'étendue de ce devoir s'apprécie plus sévèrement lorsque le client spécule non seulement avec ses propres avoirs mais aussi avec des crédits ouverts par la banque ( ATF 133 III 97 consid. 7.1.1 p. 102; 119 II 333 consid. 5a p. 335). Lorsque le client adresse à la banque des ordres précis et inconditionnels, celle-ci n'assume en principe aucun devoir d'information car le client montre alors qu'il n'a pas besoin de l'information et des conseils de la banque, et qu'il ne les souhaite pas. Un devoir d'information ne subsiste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ne le demande pas explicitement ( ATF 133 III 97 consid. 7.1.2 p. 103; 131 III 377 consid. 4.1.1 p. 380).</w:t>
      </w:r>
    </w:p>
    <w:p>
      <w:r>
        <w:rPr>
          <w:b/>
        </w:rPr>
        <w:t>E. 4</w:t>
      </w:r>
    </w:p>
    <w:p>
      <w:r>
        <w:t>L'art. 11 de la loi fédérale sur les bourses et le commerce des valeurs mobilières (LBVM; RS 954.1) impose lui aussi un devoir d'information au négociant de titres, et son client peut faire valoir, le cas échéant et à l'appui d'une demande de dommages-intérêts élevée contre le négociant, que ce devoir a été méconnu. L'information doit porter sur les risques que comportent en général les opérations envisagées par le client; elle doit être formulée d'une manière communément intelligible et adaptée à un client présumé peu expérimenté et averti. L'information peut être fournie de manière standardisée avec la remise de notices ou brochures d'information. Pour le surplus, le négociant n'a en principe pas à vérifier si une opération déterminée est adaptée aux besoins et à la situation patrimoniale particulière du client ( ATF 133 III 97 consid. 5 p. 99).</w:t>
      </w:r>
    </w:p>
    <w:p>
      <w:r>
        <w:rPr>
          <w:b/>
        </w:rPr>
        <w:t>E. 5</w:t>
      </w:r>
    </w:p>
    <w:p>
      <w:r>
        <w:t>Le demandeur n'a confié aucun mandat de gestion à la défenderesse et il n'a sollicité aucune espèce de conseil avant d'entreprendre des opérations sur les titres émis par N.________ Inc. Dans les constatations de fait déterminantes, rien ne révèle, non plus, un rapport de confiance particulier entre les parties. Le demandeur usait du service e-banking qui lui permettrait d'effectuer personnellement des opérations boursières, et il n'est pas établi que les collaborateurs de la banque lui aient régulièrement apporté des conseils ou des mises en garde au sujet des valeurs qu'il choisissait pour ses investissements. A l'appui de ses prétentions en dommages-intérêts, le demandeur insiste sur les particularités de l'opération exécutée le 18 juillet 2006, sur lesquelles, à son avis, la banque aurait dû attirer son attention: la société N.________ Inc. était inconnue et n'offrait aucune garantie de prospérité; ses actions négociables étaient traitées sur un marché hors bourse particulièrement exposé aux manipulations de cours; l'exercice des options conduisait à acquérir des actions qui n'étaient pas aussitôt négociables mais au contraire bloquées durant une année, donc sans possibilité de les aliéner pour parer au risque d'une dévaluation; le prix d'exercice, dépendant du cours au moment où la banque recevait l'ordre correspondant, n'était pas connu au moment où l'investisseur donnait cet ordre, et la combinaison d'un prix unitaire très faible avec un nombre de titres très élevé empêchait d'appréhender aisément le prix d'exercice global. Le demandeur affirme aussi que ce prix global, soit 360'000 dollars, excédait la valeur totale de ses avoirs auprès de la défenderesse, et que l'opération avait donc pour effet de l'endetter envers elle. Or, ce fait n'est pas constaté par la Cour de justice et la décision attaquée indique seulement que le demandeur se trouvait à découvert le 4 août 2006; au regard de l' art. 105 al. 1 LTF , il n'appartient pas au Tribunal fédéral d'étudier lui-même les pièces du dossier auxquelles le demandeur fait référence. Pour le surplus, la défenderesse n'était pas tenue d'avertir spontanément le demandeur que N.________ Inc. était inconnue et que l'achat de ses actions était un placement risqué. Celui qui, tel le demandeur, pratique régulièrement et personnellement des achats et ventes d'actions sait ce qu'est la bourse, et sait aussi, partant, qu'un marché hors bourse n'est pas soumis aux règles de la bourse et n'assure pas les garanties correspondantes. Il importe donc peu, contrairement à l'argumentation présentée, que la défenderesse n'ait pas prouvé la remise d'une notice d'information répondant aux exigences de l' art. 11 LBVM . Enfin, dans ses communications du 17 mai et, surtout, du 12 juillet 2006, la défenderesse a indiqué de manière parfaitement intelligible que le prix à payer dépendrait du cours de l'action à la réception de l'ordre et que les titres acquis demeureraient bloqués durant une année. De son propre aveu, le demandeur n'a pas lu la première de ces communications; de toute évidence, il n'a pas non plus lu attentivement la seconde puisqu'il croyait que les actions nouvelles seraient gratuites. La défenderesse ne pouvait pas discerner cette attitude désinvolte de son client et elle n'en est évidemment pas responsable. Interpellé par un collaborateur de la banque, le demandeur a déclaré vouloir acquérir la totalité des actions proposées en relation avec les options qu'il détenait. Face à la détermination ainsi manifestée, la défenderesse et ses collaborateurs pouvaient croire que leur client maîtrisait l'opération en cause; en conséquence, il ne s'imposait pas de vérifier s'il avait conscience de son coût global et s'il était disposé à l'assumer. La défenderesse ayant agi conformément à ses obligations, le demandeur n'est pas fondé à lui réclamer un dédommagement. Il n'est pas nécessaire d'examiner les critiques qu'il dirige contre diverses constatations de fait présentes dans la décision attaquée, qui ne sont pas déterminantes pour l'issue de la contestation.</w:t>
      </w:r>
    </w:p>
    <w:p>
      <w:r>
        <w:rPr>
          <w:b/>
        </w:rPr>
        <w:t>E. 6</w:t>
      </w:r>
    </w:p>
    <w:p>
      <w:r>
        <w:t>Le recours se révèle privé de fondement, ce qui conduit à son rejet. A titre de partie qui succombe, son auteur doit acquitter l'émolument à percevoir par le Tribunal fédéral. L'adverse partie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