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269/2022 vom 5. Oktober 2022</w:t>
      </w:r>
    </w:p>
    <w:p>
      <w:r>
        <w:t>Bundesgericht, 2022-10-05, FR</w:t>
      </w:r>
    </w:p>
    <w:p>
      <w:r>
        <w:rPr>
          <w:b/>
        </w:rPr>
        <w:t xml:space="preserve">Quelle: </w:t>
      </w:r>
      <w:r>
        <w:t>https://mcp.opencaselaw.ch/entscheid/bger_4A_269_2022</w:t>
      </w:r>
    </w:p>
    <w:p>
      <w:r>
        <w:t>FR: TF 4A 269/2022 du 5 octobre 2022</w:t>
      </w:r>
    </w:p>
    <w:p>
      <w:r>
        <w:t>IT: TF 4A 269/2022 del 5 ottobre 2022</w:t>
      </w:r>
    </w:p>
    <w:p>
      <w:pPr>
        <w:pStyle w:val="Heading2"/>
      </w:pPr>
      <w:r>
        <w:t>Regeste</w:t>
      </w:r>
    </w:p>
    <w:p>
      <w:r>
        <w:t>contrat de leasing, | Droit des contrats</w:t>
      </w:r>
    </w:p>
    <w:p>
      <w:pPr>
        <w:pStyle w:val="Heading2"/>
      </w:pPr>
      <w:r>
        <w:t>Erwägungen</w:t>
      </w:r>
    </w:p>
    <w:p>
      <w:r>
        <w:rPr>
          <w:b/>
        </w:rPr>
        <w:t>E. 1</w:t>
      </w:r>
    </w:p>
    <w:p>
      <w:r>
        <w:t>Interjeté dans le délai fixé par la loi ( art. 100 al. 1 LTF ) par la défenderesse, qui a en partie succombé dans ses conclusions ( art. 76 al. 1 LTF ), et dirigé contre une décision finale ( art. 90 LTF ) rendue sur appel par le tribunal supérieur du canton de Fribourg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Sur près de quatre pages, la recourante " expose [...] un résumé des faits pertinents ", soit, d'une part, les " faits constatés par l'autorité précédente "et, d'autre part, les " faits valablement allégués par [la recourante], qui ont fait l'objet d'une constatation manifestement inexacte ou en violation de l' art. 95 LTF , et dont la correction est susceptible d'influer sur le sort de la cause ex art. 97 LTF ". Dans la mesure où la recourante n'établit pas qu'elle aurait valablement allégué les faits omis devant les instances cantonales, elle ne satisfait pas aux exigences applicables en matière de complètement de l'état de fait (cf. supra consid. 2.1). Son grief est dès lors irrecevable.</w:t>
      </w:r>
    </w:p>
    <w:p>
      <w:r>
        <w:rPr>
          <w:b/>
        </w:rPr>
        <w:t>E. 3</w:t>
      </w:r>
    </w:p>
    <w:p>
      <w:r>
        <w:t>Dans un premier temps, la recourante reproche à la cour cantonale d'avoir retenu que les parties n'auraient pas modifié leur accord, invoquant une constatation arbitraire des faits et une violation des art. 1 et 18 CO et de l' art. 2 CC .</w:t>
      </w:r>
    </w:p>
    <w:p>
      <w:r>
        <w:rPr>
          <w:b/>
        </w:rPr>
        <w:t>E. 3.1.1</w:t>
      </w:r>
    </w:p>
    <w:p>
      <w:r>
        <w:t>La modification du contrat n'est qu'une modalité particulière de la formation du contrat et, partant, obéit aux mêmes règles que celles qui régissent la formation du contrat, soit aux art. 1 ss et 18 CO (arrêts 4A_126/2022 du 7 juillet 2022 consid. 3.1.1 et la référence citée; 4A_402/2021 du 14 mars 2022 consid. 3.1; 4A_556/2019 du 29 septembre 2020 consid. 5.1; 4A_431/2019 du 27 février 2020 consid. 5.2).</w:t>
      </w:r>
    </w:p>
    <w:p>
      <w:r>
        <w:rPr>
          <w:b/>
        </w:rPr>
        <w:t>E. 3.1.2</w:t>
      </w:r>
    </w:p>
    <w:p>
      <w:r>
        <w:t>En droit suisse des contrats,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übereinstimmende Willenserklärungen ), qu'elles se sont effectivement comprises et, partant, ont voulu se lier, il y a accord de fait ( tatsächlicher Konsens ); si au contraire, alors qu'elles se sont comprises, elles ne sont pas parvenues à s'entendre, ce dont elles étaient d'emblée conscientes, il y a un désaccord patent ( 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 versteckter Dissens ) et le contrat est conclu dans le sens objectif que l'on peut donner à leurs déclarations de volonté selon le principe de la confiance; en pareil cas, l'accord est de droit (ou normatif) ( ATF 144 III 93 consid. 5.2.1; 123 III 35 consid. 2b; arrêts 4A_126/2022 précité consid. 3.1.2; 4A_402/2021 précité consid. 3.2; 4A_643/2020 du 22 octobre 2021 consid. 4.1 et la référence citée).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3.2</w:t>
      </w:r>
    </w:p>
    <w:p>
      <w:r>
        <w:t>La cour cantonale a confirmé l'interprétation du tribunal, selon laquelle rien n'indiquait dans le courrier du 23 avril 2018 que la société de leasing entendait assumer une responsabilité pour les défauts du véhicule invoqués par la preneuse de leasing et, donc, les parties n'avaient pas conclu de nouvel accord dérogeant aux conditions générales s'agissant de la garantie. En substance, elle a retenu que les termes utilisés par la société de leasing dans ledit courrier n'indiquaient aucune volonté de sa part de déroger aux conditions générales ou de s'engager à remédier aux défauts du véhicule. Interprétant ensuite ledit courrier et le " comportement général " de la société de leasing, elle a considéré, d'une part, que la preneuse de leasing, représentée par une mandataire professionnelle, ne pouvait pas, de bonne foi, inférer dudit courrier que la société de leasing assumerait une responsabilité allant au-delà de sa position de donneuse de leasing et, d'autre part, que rien dans le comportement général de la société de leasing et du groupe dont elle faisait partie n'était de nature à susciter une confiance légitime en un engagement de celle-ci de supprimer les défauts litigieux.</w:t>
      </w:r>
    </w:p>
    <w:p>
      <w:r>
        <w:rPr>
          <w:b/>
        </w:rPr>
        <w:t>E. 3.3</w:t>
      </w:r>
    </w:p>
    <w:p>
      <w:r>
        <w:t>La recourante invoque que la cour cantonale se serait basée sur une interprétation " erronée, trop restrictive " du courrier de la demanderesse du 23 avril 2018. Selon elle, le texte dudit courrier n'indiquerait pas la volonté de l'intimée de continuer la relation juridique avec elle sur la base du contrat de leasing inchangé, au sens où l'intimée n'aurait aucun lien avec le traitement des défauts de la chose en leasing et aurait seulement le rôle de donneuse de leasing. L'intimée se serait au contraire engagée à trouver une solution aux défauts affectant le véhicule, dérogeant ainsi à l'art. 7.1 des conditions générales. Cela serait confirmé par l'interprétation objective des manifestations de volonté. La recourante invoque qu'elle aurait été contactée par le fournisseur, qui lui aurait proposé de remplacer le véhicule par un modèle de catégorie inférieure ou de changer le type de freins si le problème du véhicule était lié à ceux-ci. Elle déduit du courrier litigieux et du comportement des protagonistes que l'intimée aurait créé une attente qui a fondé sa confiance légitime qu'elle aurait ensuite déçue.</w:t>
      </w:r>
    </w:p>
    <w:p>
      <w:r>
        <w:rPr>
          <w:b/>
        </w:rPr>
        <w:t>E. 3.4</w:t>
      </w:r>
    </w:p>
    <w:p>
      <w:r>
        <w:t>Procédant à une interprétation subjective de la volonté des parties, la cour cantonale a constaté que les parties n'avaient pas dérogé au contrat de leasing et aux conditions générales, dans la mesure où la société de leasing n'avait aucunement exprimé sa volonté de déroger aux conditions générales ou de s'engager à remédier aux défauts du véhicule. En tant que la recourante n'allègue ni n'établit que cette constatation factuelle serait arbitraire, elle lie la Cour de céans. L'interprétation subjective primant sur l'interprétation objective, c'est à tort que la cour cantonale et la recourante ont ensuite procédé à une interprétation objective. Le grief doit donc être rejeté. S'agissant de l'attente prétendument fondée puis déçue par l'intimée, la recourante se base sur des faits qui n'ont pas été constatés dans la partie " en fait " de l'arrêt entrepris et au sujet desquels elle ne sollicite pas valablement le complètement. Le grief tombe dès lors à faux. Dès lors que la recourante se fonde sur ces griefs pour invoquer la validité de sa résiliation extraordinaire pour justes motifs du 5 juin 2018 et l'invalidation du contrat pour dol et erreur essentielle et que lesdits griefs sont écartés, ces critiques - en tout état de cause irrecevables faute de motivation suffisante ( art. 42 al. 2 LTF ) - deviennent sans fondement.</w:t>
      </w:r>
    </w:p>
    <w:p>
      <w:r>
        <w:rPr>
          <w:b/>
        </w:rPr>
        <w:t>E. 4</w:t>
      </w:r>
    </w:p>
    <w:p>
      <w:r>
        <w:t>Dans un deuxième temps, la recourante reproche à la cour cantonale de ne pas avoir retenu la nullité, respectivement l'invalidité, des conditions générales limitant ses droits à la garantie et invoque une constatation inexacte des faits et une violation de l' art. 256 al. 2 let. a CO .</w:t>
      </w:r>
    </w:p>
    <w:p>
      <w:r>
        <w:rPr>
          <w:b/>
        </w:rPr>
        <w:t>E. 4.1.1</w:t>
      </w:r>
    </w:p>
    <w:p>
      <w:r>
        <w:t>L' art. 256 al. 1 CO prévoit que le bailleur est tenu de délivrer la chose à la date convenue, dans un état approprié à l'usage pour lequel elle a été louée, et de l'entretenir en cet état. Aux termes de l' art. 256 al. 2 let. a CO , les dérogations au détriment du locataire sont nulles si elles sont prévues dans des conditions générales préimprimées.</w:t>
      </w:r>
    </w:p>
    <w:p>
      <w:r>
        <w:rPr>
          <w:b/>
        </w:rPr>
        <w:t>E. 4.1.2</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4A_245/2021 précité consid. 4.1; 4A_40/2021 précité consid. 3.2 et les arrêts cités).</w:t>
      </w:r>
    </w:p>
    <w:p>
      <w:r>
        <w:rPr>
          <w:b/>
        </w:rPr>
        <w:t>E. 4.2</w:t>
      </w:r>
    </w:p>
    <w:p>
      <w:r>
        <w:t>La cour cantonale a relevé que la preneuse de leasing avait admis que la majorité des auteurs s'accordaient sur l'exonération de la responsabilité du donneur de leasing en relation avec un contrat de crédit-bail dans le cadre duquel le donneur de leasing a un simple rôle d'investisseur et qu'elle soutenait que le rôle de la demanderesse ne se limitait pas à celui d'une simple donneuse de leasing mais recouvrait aussi celui du " fournisseur en lien avec la garantie des défauts ". La cour cantonale a retenu que le rôle du crédit-bailleur se limite au financement de l'objet et que, conformément à l'avis des premiers juges et de la doctrine majoritaire, l' art. 256 al. 2 let. a CO n'est pas applicable au contrat de crédit-bail, ce que la preneuse de leasing n'avait pas contesté. Elle a considéré que le contrat conclu par les parties correspondait à la définition même du contrat de crédit-bail et que rien dans le contrat litigieux ne permettait de considérer que les parties auraient souhaité s'écarter de la " pratique " selon laquelle le rôle de la société de leasing se limiterait au financement de l'objet. L' art. 256 al. 2 let. a CO n'étant ici pas applicable, elle a jugé que la cession des droits de garantie prévue à l'art. 7 des conditions générales était valable.</w:t>
      </w:r>
    </w:p>
    <w:p>
      <w:r>
        <w:rPr>
          <w:b/>
        </w:rPr>
        <w:t>E. 4.3</w:t>
      </w:r>
    </w:p>
    <w:p>
      <w:r>
        <w:t>La recourante reconnaît avoir admis que la majorité des auteurs s'accordent sur l'exonération de responsabilité du donneur de leasing en relation avec un contrat de crédit-bail dans le cadre duquel le donneur de leasing a un simple rôle d'investisseur. Elle allègue toutefois que cela ne serait pas le cas ici, dans la mesure où l'engagement de l'intimée irait au-delà du simple rôle de donneur de leasing, qui ne fait que fournir le financement du leasing, et recouvrirait celui du " fournisseur en relation avec la garantie pour les défauts ".</w:t>
      </w:r>
    </w:p>
    <w:p>
      <w:r>
        <w:rPr>
          <w:b/>
        </w:rPr>
        <w:t>E. 4.4</w:t>
      </w:r>
    </w:p>
    <w:p>
      <w:r>
        <w:t>La constatation de la cour cantonale, selon laquelle rien dans le contrat litigieux ne permettait de considérer que les parties auraient souhaité s'écarter du fait que le rôle de la société de leasing se limiterait au financement de l'objet, lie la Cour de céans. Dès lors que la recourante admet ne pas avoir soutenu devant la cour cantonale que, dans pareil cas, l' art. 256 al. 2 let. a CO trouverait application, le Tribunal fédéral ne saurait examiner cette question sans violer le principe de l'épuisement matériel des griefs. Le grief est dès lors irrecevable.</w:t>
      </w:r>
    </w:p>
    <w:p>
      <w:r>
        <w:rPr>
          <w:b/>
        </w:rPr>
        <w:t>E. 5</w:t>
      </w:r>
    </w:p>
    <w:p>
      <w:r>
        <w:t>Dans un dernier temps, la recourante reproche à la cour cantonale d'avoir retenu qu'elle aurait, le 5 juin 2018, résilié le contrat de leasing au sens de l'art. 2.2 des conditions générales.</w:t>
      </w:r>
    </w:p>
    <w:p>
      <w:r>
        <w:rPr>
          <w:b/>
        </w:rPr>
        <w:t>E. 5.1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138 I 232 consid. 5.1 et les arrêts cités; 133 III 439 consid. 3.3 et les arrêts cités).</w:t>
      </w:r>
    </w:p>
    <w:p>
      <w:r>
        <w:rPr>
          <w:b/>
        </w:rPr>
        <w:t>E. 5.2</w:t>
      </w:r>
    </w:p>
    <w:p>
      <w:r>
        <w:t>La cour cantonale a indiqué que les premiers juges avaient retenu que la résiliation extraordinaire pour justes motifs effectuée le 5 juin 2018 par la défenderesse, invalide faute de justes motifs, constituait une résiliation anticipée au sens de l'art. 2.2 des conditions générales. Elle a relevé que la défenderesse n'avait nullement critiqué cette conversion. Elle a par ailleurs considéré que le grief de la défenderesse concernant l'impossibilité de sa propre résiliation du 5 juin 2018 du fait de celle du 12 septembre 2018 par la demanderesse - dont elle n'aurait pas indiqué la date - devait être qualifié d'irrecevable, faute de motivation suffisante.</w:t>
      </w:r>
    </w:p>
    <w:p>
      <w:r>
        <w:rPr>
          <w:b/>
        </w:rPr>
        <w:t>E. 5.3</w:t>
      </w:r>
    </w:p>
    <w:p>
      <w:r>
        <w:t>La recourante invoque que la cour cantonale n'aurait pas pris en compte une partie de son appel et que, contrairement à ce que la cour cantonale a retenu, elle aurait indiqué dans son appel la date de la résiliation effectuée par la demanderesse intimée. Elle invoque avoir résilié le contrat de leasing avec effet immédiat le 5 juin 2018 et rendu le véhicule le 8 juin 2018, ce qui rendrait impossible une résiliation anticipée au 24 juin 2018. Elle conteste avoir résilié le contrat de manière anticipée.</w:t>
      </w:r>
    </w:p>
    <w:p>
      <w:r>
        <w:rPr>
          <w:b/>
        </w:rPr>
        <w:t>E. 5.4</w:t>
      </w:r>
    </w:p>
    <w:p>
      <w:r>
        <w:t>En l'absence de motivation substantielle, la recevabilité du grief est douteuse. Quand bien même serait-il recevable qu'il devrait être rejeté. La partie de l'appel à laquelle la recourante se réfère concerne l'absence de " résiliation du contrat de leasing au sens de l'art. 2.2 des conditions générales ". La cour cantonale a constaté que la défenderesse n'avait pas invoqué de grief à ce propos, de sorte qu'il ne saurait être examiné par la Cour de céans et que la violation du droit d'être entendue de la recourante n'entre pas en ligne de compte. Par ailleurs, la cour cantonale a constaté que la résiliation litigieuse aurait été donnée par la demanderesse le 12 septembre 2018, de sorte que le droit d'être entendue de la recourante n'a pas non plus été violé sur ce point. On relèvera que ladite date est postérieure à la résiliation anticipée du contrat du 5 juin 2018; on voit dès lors mal comment la résiliation qu'aurait prononcée l'intimée pourrait faire échec à celle de la recourante.</w:t>
      </w:r>
    </w:p>
    <w:p>
      <w:r>
        <w:rPr>
          <w:b/>
        </w:rPr>
        <w:t>E. 6</w:t>
      </w:r>
    </w:p>
    <w:p>
      <w:r>
        <w:t>Au vu de ce qui précède, le recours doit être rejeté, dans la faible mesure de sa recevabilité. 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