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4A_268/2015 vom 24. September 2015</w:t>
      </w:r>
    </w:p>
    <w:p>
      <w:r>
        <w:t>Bundesgericht, 2015-09-24, DE</w:t>
      </w:r>
    </w:p>
    <w:p>
      <w:r>
        <w:rPr>
          <w:b/>
        </w:rPr>
        <w:t xml:space="preserve">Quelle: </w:t>
      </w:r>
      <w:r>
        <w:t>https://mcp.opencaselaw.ch/entscheid/bger_4A_268_2015</w:t>
      </w:r>
    </w:p>
    <w:p>
      <w:r>
        <w:t>FR: TF 4A_268/2015 du 24 septembre 2015</w:t>
      </w:r>
    </w:p>
    <w:p>
      <w:r>
        <w:t>IT: TF 4A_268/2015 del 24 settembre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eine Zivilrechtsstreitigkeit in Anwendung des MSchG (SR 232.11) und des UWG (SR 241). Dafür sieht das Bundesrecht ( Art. 5 Abs. 1 lit. a und d ZPO ) eine einzige kantonale Instanz vor ( Art. 75 Abs. 2 lit. b BGG ). Die Beschwerde in Zivilsachen ist demnach unabhängig vom Streitwert zulässig ( Art. 74 Abs. 2 lit. b BGG ). Angefochten ist ein Endentscheid ( Art. 90 BGG ). Da auch die übrigen Sachurteilsvoraussetzungen erfüllt sind, ist - unter Vorbehalt einer hinreichenden Begründung ( Art. 42 Abs. 2 und Art. 106 Abs. 2 BGG ) - auf die Beschwerde einzutreten.</w:t>
      </w:r>
    </w:p>
    <w:p>
      <w:r>
        <w:rPr>
          <w:b/>
        </w:rPr>
        <w:t>E. 1.2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f. mit Hinweisen). Mit einer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tun konnten und mussten (Urteile 5A_748/2013 vom 25. November 2014 E. 2.1; 5A_488/2013 vom 4. April 2014 E. 3.1; 5A_585/2013 vom 27. November 2013 E. 2; 4A_612/2012 vom 19. Februar 2013 E. 1.2; 4A_600/2012 vom 14. Januar 2013 E. 1; 4A_278/2012 vom 26. September 2012 E. 1.2, nicht publ. in: BGE 138 III 669 ; je mit Hinweisen).</w:t>
      </w:r>
    </w:p>
    <w:p>
      <w:r>
        <w:rPr>
          <w:b/>
        </w:rPr>
        <w:t>E. 1.3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1.4</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1.5</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substantiiert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1.6</w:t>
      </w:r>
    </w:p>
    <w:p>
      <w:r>
        <w:t>Die Beschwerdeführerin wirft der Vorinstanz vor, sie habe ihre Triplik vom 18. Juni 2012 zu Unrecht aus dem Recht gewiesen und damit den Anspruch auf rechtliches Gehör ( Art. 29 Abs. 2 BV und Art. 6 Ziff. 1 EMRK ) wie auch Bundesrecht ( Art. 229 ZPO ) verletzt.</w:t>
      </w:r>
    </w:p>
    <w:p>
      <w:r>
        <w:t>Wie bereits in ihrem ersten Entscheid vom 26. März 2014 hielt die Vorinstanz auch im nunmehr angefochtenen Urteil vom 30. März 2015 fest, die Triplik der Beschwerdeführerin vom 18. Juni 2012 wie auch die Stellungnahme der Beschwerdegegnerin dazu vom 24. September 2012 seien aus dem Recht zu weisen. Die Beschwerdeführerin hatte im ersten Verfahren vor Bundesgericht nicht vorgebracht, ihre Triplik sei zu Unrecht unberücksichtigt geblieben. Entgegen ihrer Ansicht wäre sie, die im ersten Beschwerdeverfahren als Beschwerdegegnerin auftrat, veranlasst gewesen, die angebliche Gehörsverletzung bereits in ihrer damaligen Beschwerdeantwort vorzubringen, für welche dieselben Begründungsanforderungen wie für die Beschwerde gelten (vgl. auch Urteile 5A_748/2013 vom 25. November 2014 E. 2.2; 5A_585/2013 vom 27. November 2013 E. 4 und 5) : Hätte sie eine Gehörsrüge erhoben und wäre diese begründet gewesen, hätte das Bundesgericht ihre markenrechtlichen Ansprüche nicht - wie erfolgt - materiell für unbegründet erklären können (Urteil 4A_330/2014, a.a.O., E. 3.2.3/3.2.4), sondern es hätte die Sache zur Gewährung des rechtlichen Gehörs an die Vorinstanz zurückweisen müssen. Versäumte sie es im ersten Verfahren vorzutragen, was sie bereits damals hätte vortragen können, so kann die Beschwerdeführerin dies nicht im neuerlichen Verfahren vor Bundesgericht nachholen.</w:t>
      </w:r>
    </w:p>
    <w:p>
      <w:r>
        <w:t>Auf die Rüge ist nicht einzutreten und die zahlreichen Hinweise in der Beschwerdeschrift auf die Triplik vom 18. Juni 2012 haben unbeachtet zu bleiben. Ebenso unbeachtlich sind ihre Ausführungen, soweit sie ihre Gehörsrüge mit der allgemeinen Behauptung begründet, die in der Triplik aufgeführten Vorbringen und Beweismittel seien auch in ihrer Widerklageduplik vom 28. August 2012 enthalten, in der ausdrücklich auf die Triplik verwiesen werde; ausserdem ist die Widerklage bereits rechtskräftig erledigt, worauf die Beschwerdegegnerin zutreffend hinweist.</w:t>
      </w:r>
    </w:p>
    <w:p>
      <w:r>
        <w:t>Ebenfalls nicht einzutreten ist aus denselben Gründen auf die nunmehr erhobene Rüge, die Vorinstanz habe im Vorverfahren keine Beweisverfügung ( Art. 154 ZPO ) erlassen und damit den Anspruch auf rechtliches Gehör ( Art. 29 Abs. 2 BV ) missachtet.</w:t>
      </w:r>
    </w:p>
    <w:p>
      <w:r>
        <w:rPr>
          <w:b/>
        </w:rPr>
        <w:t>E. 1.7</w:t>
      </w:r>
    </w:p>
    <w:p>
      <w:r>
        <w:t>Nicht einzutreten ist zudem auf die Beschwerde, soweit darin nach Auflistung zahlreicher Sachverhaltselemente (mit entsprechenden Beweisofferten), die sich dem angefochtenen Entscheid nicht entnehmen lassen, ohne weitere Begründung eine Verletzung von Art. 8 ZGB , des rechtlichen Gehörs ( Art. 29 Abs. 2 BV ) oder des Willkürverbots ( Art. 9 BV ) behauptet wird. Damit verfehlt die Beschwerdeführerin die gesetzlichen Begründungsanforderungen.</w:t>
      </w:r>
    </w:p>
    <w:p>
      <w:r>
        <w:rPr>
          <w:b/>
        </w:rPr>
        <w:t>E. 2</w:t>
      </w:r>
    </w:p>
    <w:p>
      <w:r>
        <w:t>Die Beschwerdeführerin rügt, die Vorinstanz habe (bei der Beurteilung der Kennzeichnungskraft von "THINK") auf einen unzutreffenden Verkehrskreis abgestellt.</w:t>
      </w:r>
    </w:p>
    <w:p>
      <w:r>
        <w:rPr>
          <w:b/>
        </w:rPr>
        <w:t>E. 2.1</w:t>
      </w:r>
    </w:p>
    <w:p>
      <w:r>
        <w:t>Die Vorinstanz erwog, die Schuhe der Beschwerdeführerin richteten sich an ein breites Publikum, auch wenn sie bestimmte Kunden (die auf gesunde und ökologische Schuhe achten), besonders ansprechen wolle. Diese engere Zielgruppe sei jedoch nur sehr vage bestimmt und es sei nicht substantiiert dargetan, dass die klägerischen Schuhe hauptsächlich an eine spezielle Bevölkerungsgruppe verkauft würden. Es werde zum Beispiel nicht behauptet, die Schuhe würden hauptsächlich in medizinischen Spezialgeschäften verkauft, so dass von einer überwiegenden Kundschaft mit medizinischen Problemen ausgegangen werden könnte. Der für die Bestimmung der Kennzeichnungskraft des klägerischen Zeichens massgebliche Verkehrskreis bestehe somit aus allen Käufern von Schuhen und nicht etwa nur aus Schuhkäufern mit Problemfüssen oder dergleichen.</w:t>
      </w:r>
    </w:p>
    <w:p>
      <w:r>
        <w:rPr>
          <w:b/>
        </w:rPr>
        <w:t>E. 2.2</w:t>
      </w:r>
    </w:p>
    <w:p>
      <w:r>
        <w:t>Die Pflicht einer Prozesspartei, ihre Sachdarstellungen zu substantiieren, bedeutet, dass die Partei die Tatsachen nicht nur in den Grundzügen, sondern so umfassend und klar darzulegen hat, dass darüber Beweis abgenommen werden kann. Dabei bestimmt das Bundesrecht, wie weit ein Sachverhalt zu substantiieren ist, damit er unter die Bestimmungen des materiellen Rechts subsumiert werden kann. Die inhaltliche Tragweite der Substantiierungslast hängt auch vom prozessualen Verhalten der Gegenpartei ab. Tatsachenbehauptungen müssen so konkret formuliert sein, dass ein substantiiertes Bestreiten möglich ist oder der Gegenbeweis angetreten werden kann ( BGE 127 III 365 E. 2b; 108 II 337 E. 2b S. 339).</w:t>
      </w:r>
    </w:p>
    <w:p>
      <w:r>
        <w:t>Stellt das kantonale Gericht überhöhte Anforderungen an die Substantiierungslast, indem es detailliertere Tatsachenbehauptungen verlangt als für die rechtliche Beurteilung des anspruchsbegründenden Sachverhalts nötig, verletzt es Bundesrecht ( BGE 114 II 289 E. 2a S. 291).</w:t>
      </w:r>
    </w:p>
    <w:p>
      <w:r>
        <w:rPr>
          <w:b/>
        </w:rPr>
        <w:t>E. 2.3</w:t>
      </w:r>
    </w:p>
    <w:p>
      <w:r>
        <w:t>Die Beschwerdeführerin legt auch vor Bundesgericht in keiner Weise dar, dass sie im kantonalen Verfahren konkret behauptet hätte, die Abnehmer ihrer Schuhe gehörten einer bestimmten Bevölkerungsgruppe an, sondern bezeichnet die vorinstanzliche Erwägung ohne weitere Begründung als unzutreffend. Sie bringt lediglich vor, sie habe im vorinstanzlichen Verfahren darauf hingewiesen, dass es sich bei den in Frage stehenden Produkten um "modische Bequemschuhe" handle, für die ihre Marke "THINK" über eine grosse Bekanntheit und einen besonders guten Ruf in der Schweiz verfüge. Sie vermag vor Bundesgericht nicht aufzuzeigen, inwiefern die Vorinstanz überhöhte Anforderungen an die Substantiierungslast gestellt hätte; mangels hinreichender Vorbringen hatte diese auch keinen Anlass, die von der Beschwerdeführerin (zu ihren ungenügenden Behauptungen) angebotenen Beweise abzunehmen. Entgegen der in der Beschwerde vertretenen Ansicht ist der Vorinstanz keine Bundesrechtsverletzung vorzuwerfen, wenn sie den massgebenden Verkehrskreis für die Beurteilung der (originären und derivativen) Kennzeichnungskraft des Zeichens "THINK" wie auch der Verwechslungsgefahr in den Käufern von Schuhen erblickte.</w:t>
      </w:r>
    </w:p>
    <w:p>
      <w:r>
        <w:rPr>
          <w:b/>
        </w:rPr>
        <w:t>E. 3.1</w:t>
      </w:r>
    </w:p>
    <w:p>
      <w:r>
        <w:t>Wie sich ergeben hat, ist für die Beurteilung der Kennzeichnungskraft des Zeichens "THINK" im Hinblick auf die lauterkeitsrechtliche Anspruchsgrundlage allgemein von Abnehmern von Schuhen auszugehen. Im konkreten Fall ist damit kein Unterschied zu dem für die markenrechtliche Kennzeichnungskraft massgebenden Verkehrskreis auszumachen. Die von der Beschwerdeführerin im Rahmen der lauterkeitsrechtlichen Anspruchsgrundlage einmal mehr ins Feld geführte erhöhte Bekanntheit ihres Zeichens "THINK" für Schuhe, mit der sie dessen angeblich besondere Kennzeichnungskraft begründet, wurde bereits im Rahmen des ersten bundesgerichtlichen Beschwerdeverfahrens abgehandelt. Sie hatte sich damals im Zusammenhang mit dem Schutzumfang von "THINK" darauf berufen, es sei angesichts der erhöhten Bekanntheit ihrer Marke (aufgrund ihrer angeblich langjährigen Benutzung in der Schweiz und des guten Rufs ihrer Bequemschuhe) von einer besonderen Kennzeichnungskraft auszugehen. Das Bundesgericht erachtete diesen Einwand mangels entsprechender Sachverhaltsfeststellungen im angefochtenen Entscheid für unbehelflich (Urteil 4A_330/2014, a.a.O., E. 2.2.4). Es erwog ausserdem im Rahmen der Beurteilung der markenrechtlichen Verwechslungsgefahr, dass der Durchschnittskonsument von Schuhen die Wortverbindung "THINK OUTDOORS" insgesamt als beschreibende bzw. anpreisende Aussage auffasst, solange sich die Marke "THINK" dem Publikum nicht durch Werbeanstrengungen in besonderem Masse als Kennzeichen der beanspruchten Waren eingeprägt habe, was von der Vorinstanz nicht festgestellt worden sei (Urteil 4A_330/2014, a.a.O., E. 3.2.3).</w:t>
      </w:r>
    </w:p>
    <w:p>
      <w:r>
        <w:t>Aufgrund der Bindungswirkung des Rückweisungsentscheids war im vorinstanzlichen Verfahren daher nicht erneut zu prüfen, ob das Zeichen "THINK" aufgrund der behaupteten langjährigen Benutzung in der Schweiz bei Abnehmern von Schuhen besonders bekannt sei bzw. ob sich das Zeichen bei diesen durch Werbeanstrengungen der Beschwerdeführerin besonders eingeprägt habe. Die Vorbringen in der Beschwerde zur angeblich erhöhten Bekanntheit von "THINK" gehen somit ins Leere.</w:t>
      </w:r>
    </w:p>
    <w:p>
      <w:r>
        <w:t>Allgemein verkennt die Beschwerdeführerin, dass ihre Unterlassungsbegehren, soweit sie sich auf das Markenschutzgesetz stützten, vom Bundesgericht endgültig beurteilt worden sind (Urteil 4A_330/2014, a.a.O., E. 3.2.4 ). Mit ihren ausführlichen Vorbringen, mit denen sie der Beschwerdegegnerin einmal mehr eine Markenverletzung vorwirft und daraus ableitet, ihre markenrechtlichen Ansprüche seien begründet, ist sie aufgrund der Bindungswirkung des Rückweisungsentscheids nicht zu hören.</w:t>
      </w:r>
    </w:p>
    <w:p>
      <w:r>
        <w:rPr>
          <w:b/>
        </w:rPr>
        <w:t>E. 3.2</w:t>
      </w:r>
    </w:p>
    <w:p>
      <w:r>
        <w:t>Auf die Begründung der Vorinstanz, weshalb weder eine lauterkeitsrechtliche Verwechslungsgefahr im Sinne von Art. 2 und Art. 3 lit. d UWG noch eine nach Art. 2 und Art. 3 lit. e UWG verpönte Rufausbeutung vorliege, geht die Beschwerdeführerin nicht hinreichend ein. Mit ihrer nicht weiter begründeten Behauptung, ihre auf das UWG gestützten Unterlassungsansprüche seien von der Vorinstanz falsch beurteilt worden, zeigt sie keine Verletzung der erwähnten Gesetzesbestimmungen auf.</w:t>
      </w:r>
    </w:p>
    <w:p>
      <w:r>
        <w:t>Insbesondere erhebt die Beschwerdeführerin keine hinreichende Sachverhaltsrüge, indem sie sich in ihrer Beschwerdeschrift darauf beschränkt, ohne Bezug zu den Erwägungen im angefochtenen Entscheid zahlreiche Behauptungen mit entsprechenden Beweisofferten aufzuführen, um daraus jeweils - ohne weitere Begründung - zu schliessen, gestützt darauf hätten ihre Unterlassungsbegehren gutgeheissen werden müssen. Eine Ergänzung des Sachverhalts, wie ihn die Beschwerdeführerin anstrebt, hätte vorausgesetzt, dass sie eine Verletzung der massgebenden Bestimmungen des UWG aufgezeigt hätte ( Art. 105 Abs. 2 BGG ). Entsprechende hinreichende Vorbringen lassen sich der Beschwerde nicht entnehmen. Auch in ihren (knappen) Ausführungen zum UWG bringt die Beschwerdeführerin lediglich in allgemeiner Weise vor, es seien im Abschnitt ihrer Beschwerdeeingabe zum Sachverhalt zahlreiche zentrale Elemente erwähnt worden, die von der Vorinstanz zu Unrecht nicht berücksichtigt worden seien und behauptet pauschal, "[b]ereits einzelne dieser Elemente, aber ganz bestimmt die Kumulation dieser verschiedenen Elemente" führten dazu, dass ihr Anspruch aus UWG gerechtfertigt sei. Damit zeigt sie keine Verletzung der massgebenden lauterkeitsrechtlichen Bestimmungen auf, sondern verfehlt die gesetzlichen Begründungsanforderungen.</w:t>
      </w:r>
    </w:p>
    <w:p>
      <w:r>
        <w:rPr>
          <w:b/>
        </w:rPr>
        <w:t>E. 4</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