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4A_268/2010 vom 21. Oktober 2010</w:t>
      </w:r>
    </w:p>
    <w:p>
      <w:r>
        <w:t>Bundesgericht, 2010-10-21, FR</w:t>
      </w:r>
    </w:p>
    <w:p>
      <w:r>
        <w:rPr>
          <w:b/>
        </w:rPr>
        <w:t xml:space="preserve">Quelle: </w:t>
      </w:r>
      <w:r>
        <w:t>https://mcp.opencaselaw.ch/entscheid/bger_4A_268_2010</w:t>
      </w:r>
    </w:p>
    <w:p>
      <w:r>
        <w:t>FR: TF 4A_268/2010 du 21 octobre 2010</w:t>
      </w:r>
    </w:p>
    <w:p>
      <w:r>
        <w:t>IT: TF 4A_268/2010 del 21 ottobre 2010</w:t>
      </w:r>
    </w:p>
    <w:p>
      <w:pPr>
        <w:pStyle w:val="Heading2"/>
      </w:pPr>
      <w:r>
        <w:t>Erwägungen</w:t>
      </w:r>
    </w:p>
    <w:p>
      <w:r>
        <w:rPr>
          <w:b/>
        </w:rPr>
        <w:t>E. 1</w:t>
      </w:r>
    </w:p>
    <w:p>
      <w:r>
        <w:t>L'arrêt du 31 mars 2010 est une décision incidente refusant à la demanderesse le droit de se faire représenter ou assister par le syndicat recourant. Pour cette partie, l'empêchement de se faire représenter ou assister par le mandataire de son choix, dans la suite du procès, constitue un préjudice juridique irréparable (cf. ATF 134 III 188 consid. 2.1 p. 190; 135 II 30 consid. 1.3.4 p. 36) et cette décision est donc susceptible d'un recours séparé selon l' art. 93 al. 1 let. a LTF .</w:t>
      </w:r>
    </w:p>
    <w:p>
      <w:r>
        <w:t>Pour le surplus, le recours est dirigé contre un jugement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recours a été introduit en temps utile ( art. 100 al. 1 LTF ) et dans les formes requises (art. 42 al. 1 à 3 LTF); en particulier, contrairement à l'opinion des défendeurs, la motivation est suffisamment développée.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Selon les art. 12 al. 1 et 2 et 13 al. 1 de la loi genevoise sur la juridiction des prud'hommes (LJP gen.), du 25 février 1999, les parties procèdent en personne devant les tribunaux régis par cette loi (art. 12 al. 1); elles peuvent se faire assister par un proche, par un avocat ou par un autre mandataire professionnellement qualifié (art. 12 al. 2); exceptionnellement, le président peut autoriser une partie à se faire représenter par un proche, par un avocat ou par un autre mandataire professionnellement qualifié (art. 13 al. 1).</w:t>
      </w:r>
    </w:p>
    <w:p>
      <w:r>
        <w:t>B.________ a expressément renoncé à revendiquer personnellement la qualité de mandataire professionnellement qualifié; le Président de la Cour d'appel doit encore statuer sur celle de A.________ qui est une collaboratrice du Syndicat X.________; il l'a déniée au Syndicat X.________ et c'est l'objet de la contestation présentement soumise au Tribunal fédéral.</w:t>
      </w:r>
    </w:p>
    <w:p>
      <w:r>
        <w:rPr>
          <w:b/>
        </w:rPr>
        <w:t>E. 3</w:t>
      </w:r>
    </w:p>
    <w:p>
      <w:r>
        <w:t>Dans ses observations, le Président de la Cour d'appel demande que le Tribunal fédéral sursoie à statuer jusqu'à droit connu sur la contestation concernant A.________, en raison de la connexité des deux causes. Il est vrai que, comme on le verra, la cause du syndicat recourant ne peut guère être dissociée de celle de sa collaboratrice. Il est vrai aussi que l'issue de cette cause-ci peut influencer le sort des conclusions prises devant le Tribunal fédéral au sujet de l'écriture du 12 février 2009. Toutefois, cela ne justifie pas de différer l'arrêt à rendre par la Cour de céans. Il est d'ailleurs singulier que le magistrat intimé propose la jonction des causes après qu'il a jugé opportun, lui, de les disjoindre.</w:t>
      </w:r>
    </w:p>
    <w:p>
      <w:r>
        <w:rPr>
          <w:b/>
        </w:rPr>
        <w:t>E. 3.3</w:t>
      </w:r>
    </w:p>
    <w:p>
      <w:r>
        <w:t>p. 133; 134 I 184 consid. 1.4 p. 189).</w:t>
      </w:r>
    </w:p>
    <w:p>
      <w:r>
        <w:t>Selon l'art. 57 al. 1 LJP gen., le Président de la Cour d'appel statue seul et sans audience sur les appels portant sur une question de litispendance, de compétence, d'autorité de la chose jugée, de récusation ou toute autre question de nature procédurale. Or, il n'est en tout cas pas arbitraire (cf. consid. 6.1 ci-dessous) de retenir que la qualité de mandataire professionnellement qualifié s'inscrit dans les questions de nature procédurale ainsi placées dans la compétence du Président. Pour le surplus, il n'est pas douteux que le Président de la Cour d'appel, qui est, en l'occurrence, un juge de la Cour de justice désigné par ce corps conformément à l'art. 10 al. 1 et 2 LJP gen., satisfasse a priori aux exigences d'indépendance et d'impartialité posées par l' art. 30 al. 1 Cst. Le recourant réclame vainement, sans justification concluante, la constitution du collège de cinq membres prévu par l'art. 70 al. 7 LJP gen. pour les cas où une demande de récusation est dirigée simultanément contre tous les juges de la Cour d'appel, ou contre une majorité d'entre eux.</w:t>
      </w:r>
    </w:p>
    <w:p>
      <w:r>
        <w:rPr>
          <w:b/>
        </w:rPr>
        <w:t>E. 4</w:t>
      </w:r>
    </w:p>
    <w:p>
      <w:r>
        <w:t>Le syndicat recourant invoque l' art. 30 al. 1 Cst. et soutient que le Président de la Cour d'appel n'était pas compétent pour statuer seul, en seconde instance cantonale, sur sa qualité de mandataire professionnellement qualifié.</w:t>
      </w:r>
    </w:p>
    <w:p>
      <w:r>
        <w:t>Selon cette disposition constitutionnelle, toute personne dont la cause doit être jugée dans une procédure judiciaire a droit à ce que ladite cause soit portée devant un tribunal établi par la loi, compétent, indépendant et impartial. L' art. 30 al. 1 Cst. interdit les tribunaux d'exception et la mise en oeuvre de juges ad hoc ou ad personam; il exige une organisation judiciaire et une procédure déterminées de manière suffisamment complète par la loi, et il autorise les parties à exiger que le tribunal soit composé conformément aux règles en vigueur. C'est essentiellement au regard des règles cantonales applicables à l'organisation et à la procédure qu'il convient d'examiner si une autorité judiciaire a statué dans une composition conforme à la loi. Le Tribunal fédéral ne contrôle l'interprétation de ces règles qu'avec un pouvoir d'examen limité à l'arbitraire; en revanche, il examine librement si l'organisation qui en résulte est compatible avec la garantie d'un tribunal établi par la loi, compétent, indépendant et impartial ( ATF 131 I 31 consid. 2.1.2.1 p. 34; voir aussi ATF 134 I 125</w:t>
      </w:r>
    </w:p>
    <w:p>
      <w:r>
        <w:rPr>
          <w:b/>
        </w:rPr>
        <w:t>E. 5</w:t>
      </w:r>
    </w:p>
    <w:p>
      <w:r>
        <w:t>Le syndicat recourant soutient que le remplacement de la juge salariée M.________ par le juge employeur N.________, dès l'audience du 6 mai 2009, est inadmissible au regard de l' art. 30 al. 1 Cst.</w:t>
      </w:r>
    </w:p>
    <w:p>
      <w:r>
        <w:t>Le recourant n'invoque aucune disposition cantonale qui interdirait un remplacement de juge au cours de l'instance. L'art. 9 al. 2 LJP gen. prévoit que « les audiences sont présidées alternativement par un président employeur et par un président salarié »; cette règle signifie que les causes doivent être distribuées à parité entre les deux catégories de présidents mais elle n'exclut pas, non plus, qu'un président salarié puisse être remplacé par un président employeur, ou inversement.</w:t>
      </w:r>
    </w:p>
    <w:p>
      <w:r>
        <w:t>Le remplacement d'un juge, pendant l'instance, n'est pas non plus interdit par l' art. 30 al. 1 Cst. (cf. ATF 96 I 321 consid. 2a p. 323, relatif à l' art. 58 aCst. ). En revanche, la garantie du droit d'être entendu, conférée par l' art. 29 al. 2 Cst. , est violée lorsqu'un juge participe à la décision alors qu'il n'a pas pu prendre personnellement connaissance des arguments développés par les parties ou du résultat de l'administration des preuves. Il s'ensuit que dans une procédure orale où l'on ne tient aucun procès-verbal des déclarations des parties ni des témoignages recueillis, les juges doivent avoir participé à toutes les audiences ( ATF 96 I 321 consid. 2b; 117 Ia 133 consid. 1e p. 134).</w:t>
      </w:r>
    </w:p>
    <w:p>
      <w:r>
        <w:t>En l'espèce, le juge N.________ a pris part à toutes les audiences qui furent consacrées à la qualité de mandataire professionnellement qualifié du recourant. Le remplacement de la juge M.________ ne se révèle donc pas contraire aux art. 29 al. 2 ou 30 al. 1 Cst.</w:t>
      </w:r>
    </w:p>
    <w:p>
      <w:r>
        <w:rPr>
          <w:b/>
        </w:rPr>
        <w:t>E. 6</w:t>
      </w:r>
    </w:p>
    <w:p>
      <w:r>
        <w:t>Le recourant invoque l' art. 9 Cst. et se plaint d'une application arbitraire des art. 12 al. 2 et 13 al. 1 LJP gen.</w:t>
      </w:r>
    </w:p>
    <w:p>
      <w:r>
        <w:rPr>
          <w:b/>
        </w:rPr>
        <w:t>E. 6.1</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w:t>
      </w:r>
    </w:p>
    <w:p>
      <w:r>
        <w:rPr>
          <w:b/>
        </w:rPr>
        <w:t>E. 6.2</w:t>
      </w:r>
    </w:p>
    <w:p>
      <w:r>
        <w:t>Selon la pratique des autorités cantonales à laquelle la décision attaquée fait référence,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w:t>
      </w:r>
    </w:p>
    <w:p>
      <w:r>
        <w:t>Le syndicat recourant ne conteste pas cette pratique; il ne met pas en doute qu'elle soit conforme aux art. 12 al. 2 et 13 al. 1 LJP gen., ni que les tribunaux concernés doivent en tenir compte pour statuer sur sa propre qualité de mandataire professionnellement qualifié.</w:t>
      </w:r>
    </w:p>
    <w:p>
      <w:r>
        <w:rPr>
          <w:b/>
        </w:rPr>
        <w:t>E. 6.3</w:t>
      </w:r>
    </w:p>
    <w:p>
      <w:r>
        <w:t>Dans les motifs de la décision attaquée, d'importants développements sont consacrés aux liens très étroits du syndicat recourant avec son président et fondateur B.________, celui-ci ayant quitté, en 2000, une organisation homonyme par suite d'une querelle de personnes; à l'attitude inadéquate dudit président dans la présente contestation concernant la qualité de mandataire professionnellement qualifié; à ses appels téléphoniques également intempestifs par lesquels il a, semble-t-il, interrogé divers juges prud'hommes sur leur affiliation politique, et à des propos outranciers trouvés dans des procès-verbaux d'assemblée générale de l'organisation. Le Président de la Cour d'appel conclut ces développements comme suit:</w:t>
      </w:r>
    </w:p>
    <w:p>
      <w:r>
        <w:t>En définitive, le Syndicat X.________ apparaît ainsi comme une structure opaque, intimement liée à la personnalité de B.________, dont le comportement et le ton utilisé paraissent incompatibles avec les qualités que doit remplir une organisation qui se veut acteur de la justice. Cette association n'est de surcroît soumise à aucun contrôle d'une organisation faîtière et présente, par ailleurs, un risque concret de confusion avec un syndicat homonyme, créé antérieurement et qui, lui, est soumis au contrôle de la [Communauté genevoise d'action syndicale]. Le Syndicat X.________ se caractérise finalement par l'absence de structure de soutien aux secrétaires syndicaux, dont seule une personne [soit A.________] - au mieux - pourrait être habilitée à s'occuper de manière compétente d'affaires prud'homales. Il découle de ces éléments que le Syndicat X.________ est loin de présenter pour le public les garanties de fonctionnement, de transparence, de compétence et d'intégrité auxquelles est en droit de s'attendre un justiciable faisant appel à un mandataire professionnellement qualifié. Cette qualité ne peut donc que lui être niée.</w:t>
      </w:r>
    </w:p>
    <w:p>
      <w:r>
        <w:t>Dans ses observations, le magistrat intimé indique que B.________ et A.________ sont mariés depuis décembre 2000 et qu'ils ont tu ce fait tout au long de la procédure; il insiste donc sur « l'absence de transparence de B.________ au sujet de l'organisation de son syndicat et [sur] la totale inféodation de ce dernier à la personne de son président ».</w:t>
      </w:r>
    </w:p>
    <w:p>
      <w:r>
        <w:rPr>
          <w:b/>
        </w:rPr>
        <w:t>E. 6.4</w:t>
      </w:r>
    </w:p>
    <w:p>
      <w:r>
        <w:t>Au regard des art. 12 al. 2 et 13 al. 1 LJP gen., il n'apparaît guère que la qualité de mandataire professionnellement qualifié puisse être réservée aux organisations affiliées à la Communauté genevoise d'action syndicale, et refusée par principe à celles qui veulent demeurer indépendantes. A première vue, une pareille règle serait d'ailleurs incompatible avec les garanties constitutionnelles de l'égalité de traitement ( art. 8 al. 1 Cst. ) et de la liberté d'association, celle-ci incluant la liberté des organisations de ne pas s'associer à d'autres ( art. 23 al. 3 Cst. ).</w:t>
      </w:r>
    </w:p>
    <w:p>
      <w:r>
        <w:t>Il est sans doute regrettable que plusieurs organisations syndicales soient connues sous le même nom et qu'il existe donc un risque de confusion. Néanmoins, cela ne peut pas réellement justifier que l'une d'elles ne soit pas reconnue en qualité de mandataire professionnellement qualifié.</w:t>
      </w:r>
    </w:p>
    <w:p>
      <w:r>
        <w:t>La personnalité et l'influence du président, au sein de l'organisation, ne sont pas non plus déterminantes au regard de la pratique des tribunaux décrite dans la décision attaquée. Sans doute, s'ils ne jouissent pas personnellement des connaissances théoriques et pratiques nécessaires aux affaires prud'homales, le président et les autres dirigeants doivent-ils s'abstenir de toute immixtion dans ces affaires. Il s'impose de souligner cela à l'intention de B.________. Si ce principe n'est pas respecté, il se justifie que l'organisation soit rappelée à l'ordre, et c'est seulement en cas d'ingérences ou inconvenances persistantes, malgré avertissement, que l'organisation mérite d'être exclue des affaires prud'homales.</w:t>
      </w:r>
    </w:p>
    <w:p>
      <w:r>
        <w:t>Ce qui est en revanche essentiel, c'est que l'organisation puisse mettre à disposition des plaideurs, au minimum, une collaboratrice ou un collaborateur doté des connaissances théoriques et pratiques nécessaires auxdites affaires. Il est constant qu'actuellement, seule A.________ entre éventuellement en considération pour assumer ce rôle au service du syndicat recourant. La vérification de ses connaissances théoriques et pratiques, qui sont aussi contestées par les défendeurs, est en cours, et la qualité de mandataire professionnellement qualifié revendiquée par le syndicat dépend surtout du résultat de cette vérification. En pareille situation, le Président de la Cour d'appel ne pouvait pas raisonnablement scinder, ainsi qu'il l'a fait, les causes respectives du syndicat et de sa collaboratrice pour exclure d'emblée la qualité de celui-là. De ce point de vue, la décision présentement attaquée se révèle prématurée; pour le surplus, elle est fondée sur des motifs dépourvus de pertinence ou susceptibles, tout au plus, de n'exercer qu'une influence secondaire dans l'appréciation. Conformément à l'opinion du recourant, elle contrevient à l' art. 9 Cst. , ce qui entraîne son annulation. En revanche, les conclusions du recourant tendant à ce que le Tribunal fédéral lui reconnaisse la qualité de mandataire professionnellement qualifié sont elles aussi prématurées, aussi longtemps que les aptitudes de A.________ ne sont pas élucidées, et elles seront donc rejetées.</w:t>
      </w:r>
    </w:p>
    <w:p>
      <w:r>
        <w:rPr>
          <w:b/>
        </w:rPr>
        <w:t>E. 7</w:t>
      </w:r>
    </w:p>
    <w:p>
      <w:r>
        <w:t>Compte tenu qu'aucune des parties n'obtient entièrement gain de cause, l'émolument judiciaire doit être réparti par moitié entre les parties qui ont introduit ou soutenu le recours, d'une part, et celles qui l'ont combattu d'autre part.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