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4A_267/2019 vom 5. September 2019</w:t>
      </w:r>
    </w:p>
    <w:p>
      <w:r>
        <w:t>Bundesgericht, 2019-09-05, FR</w:t>
      </w:r>
    </w:p>
    <w:p>
      <w:r>
        <w:rPr>
          <w:b/>
        </w:rPr>
        <w:t xml:space="preserve">Quelle: </w:t>
      </w:r>
      <w:r>
        <w:t>https://mcp.opencaselaw.ch/entscheid/bger_4A_267_2019</w:t>
      </w:r>
    </w:p>
    <w:p>
      <w:r>
        <w:t>FR: TF 4A_267/2019 du 5 septembre 2019</w:t>
      </w:r>
    </w:p>
    <w:p>
      <w:r>
        <w:t>IT: TF 4A_267/2019 del 5 settembre 2019</w:t>
      </w:r>
    </w:p>
    <w:p>
      <w:pPr>
        <w:pStyle w:val="Heading2"/>
      </w:pPr>
      <w:r>
        <w:t>Erwägungen</w:t>
      </w:r>
    </w:p>
    <w:p>
      <w:r>
        <w:rPr>
          <w:b/>
        </w:rPr>
        <w:t>E. 1.1</w:t>
      </w:r>
    </w:p>
    <w:p>
      <w:r>
        <w:t>Formé en temps utile (art. 100 al. 1 et 45 al. 1 LTF), dirigé contre une décision finale ( art. 90 LTF ) rendue en matière civile ( art. 72 LTF ) sur appel des demanderesses par le tribunal supérieur du canton ( art. 75 LTF ), dans une affaire dont la valeur litigieuse excède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la partie recourante, comme il peut le rejeter en opérant une substitution de motifs ( ATF 135 III 397 consid. 1.4 et l'arrêt cité).</w:t>
      </w:r>
    </w:p>
    <w:p>
      <w:r>
        <w:rPr>
          <w:b/>
        </w:rPr>
        <w:t>E. 2</w:t>
      </w:r>
    </w:p>
    <w:p>
      <w:r>
        <w:t>La cour cantonale a examiné les conditions suspensives alternatives auxquelles le remboursement prévu à l' art. 3 let . e de la convention était subordonné. Elle est parvenue à la conclusion que ni la première condition (" vente ultérieure " de l'affaire immobilière) ni la seconde (" développement positif de cette affaire immobilière ") n'étaient réalisées en l'espèce et que les demanderesses ne pouvaient pas prétendre au remboursement des montants de 500'000 fr. et 430'000 fr.</w:t>
      </w:r>
    </w:p>
    <w:p>
      <w:r>
        <w:t>La cour cantonale a également considéré que le défendeur, qui avait procédé à un transfert de patrimoine, n'avait pas empêché l'avènement de la première condition contrairement aux règles de la bonne foi ( art. 156 CO ). De même, cette dernière disposition n'était pas applicable en lien avec la deuxième condition, puisqu'on ne pouvait pas lui reprocher d'avoir empêché le développement positif du complexe.</w:t>
      </w:r>
    </w:p>
    <w:p>
      <w:r>
        <w:rPr>
          <w:b/>
        </w:rPr>
        <w:t>E. 3</w:t>
      </w:r>
    </w:p>
    <w:p>
      <w:r>
        <w:t>Il s'agit premièrement d'examiner si, comme le soutiennent les recourantes, la première condition était réalisée, étant précisé que cette question a été tranchée par la cour cantonale par une motivation alternative.</w:t>
      </w:r>
    </w:p>
    <w:p>
      <w:r>
        <w:t>Les juges cantonaux ont relevé que, selon le premier juge, le terme de " vente ", introduit par l'avocat L.________, conseil initial de A2.________, ne pouvait signifier qu'une vente à un tiers et non pas un transfert de patrimoine. Ils ont alors noté que les demanderesses (appelantes) s'étaient bornées à opposer leur thèse à celle du premier juge et que pareille motivation, émanant de leur conseil expérimenté, était irrecevable dans la procédure d'appel.</w:t>
      </w:r>
    </w:p>
    <w:p>
      <w:r>
        <w:t>Dans une motivation subsidiaire (" Au demeurant,... "), les magistrats cantonaux, procédant à une interprétation selon le principe de la confiance, ont retenu que la notion de " vente ultérieure " n'englobait pas le transfert de patrimoine (tel que celui qui a été effectué le 20 juin 2011) et que la première condition n'était quoi qu'il en soit pas réalisée. Les juges précédents ont (implicitement) évoqué cette motivation dans leur dispositif, puisqu'ils ont rejeté l'appel " en tous points mal fondé " (cf. dispositif de l'arrêt cantonal p. 33 en lien avec la conclusion tirée au consid. 8 p. 32).</w:t>
      </w:r>
    </w:p>
    <w:p>
      <w:r>
        <w:rPr>
          <w:b/>
        </w:rPr>
        <w:t>E. 3.1</w:t>
      </w:r>
    </w:p>
    <w:p>
      <w:r>
        <w:t>Devant la Cour de céans, les recourantes attaquent exclusivement le second pan de la double motivation. Elles ne reviennent pas sur l'arrêt entrepris en tant qu'il a prononcé l'irrecevabilité de la motivation des demanderesses (alors appelantes). L'intimé est d'avis que le moyen devrait être déclaré irrecevable par la Cour de céans. Il n'y a toutefois pas lieu d'examiner ce point de manière approfondie, puisque le grief doit de toute façon être déclaré mal fondé, comme on va le voir.</w:t>
      </w:r>
    </w:p>
    <w:p>
      <w:r>
        <w:rPr>
          <w:b/>
        </w:rPr>
        <w:t>E. 3.2</w:t>
      </w:r>
    </w:p>
    <w:p>
      <w:r>
        <w:t>Pour déterminer le sens de la première condition, les juges cantonaux ont procédé à l'application du principe de la confiance. Même si les recourantes se plaignent, de manière générale, de la difficulté à saisir, dans l'arrêt cantonal, ce qui relève de la recherche de la volonté réelle et commune et ce qui ressort de la mise en oeuvre du principe de la confiance, elles ne reprochent pas aux juges précédents, précisément en lien avec la question ici examinée, d'avoir violé le droit en ne se prononçant pas, dans un premier temps, sur la volonté réelle des parties; admettant implicitement que celle-ci n'avait pas été établie, elles placent d'emblée leur argumentation sous l'angle de l'application du principe de la confiance, de sorte qu'il n'y a pas lieu de s'arrêter sur la volonté subjective des parties.</w:t>
      </w:r>
    </w:p>
    <w:p>
      <w:r>
        <w:t>Les recourantes soutiennent qu'une interprétation correcte selon le principe de la confiance aurait dû conduire les juges cantonaux à retenir que la notion de " vente ultérieure " à laquelle se réfère l' art. 3 let . e de la convention était suffisamment large pour englober le transfert du patrimoine commercial du défendeur daté du 11 juin 2011.</w:t>
      </w:r>
    </w:p>
    <w:p>
      <w:r>
        <w:rPr>
          <w:b/>
        </w:rPr>
        <w:t>E. 3.3</w:t>
      </w:r>
    </w:p>
    <w:p>
      <w:r>
        <w:t>D'emblée, on voit mal comment l'application du principe de la confiance permettrait de donner à la notion de vente (soit le transfert de la propriété d'une chose - en l'occurrence immobilière - contre le paiement d'un prix) une signification si étendue qu'elle couvrirait également le transfert de patrimoine, ce d'autant plus que la cour cantonale n'a fait état d'aucun indice allant dans ce sens.</w:t>
      </w:r>
    </w:p>
    <w:p>
      <w:r>
        <w:t>Les recourantes tentent de démontrer le contraire en soutenant que tout abandon par le défendeur de la " titularité des actifs concernés " (ou " toute dissociation entre la personne [du défendeur] et les actifs composant l'ensemble [du complexe] ") déclencherait le " mécanisme du remboursement ". Fixées sur leur objectif, qui est de convaincre que la " vente " ( art. 3 let . e de la convention) couvre le transfert de patrimoine, les recourantes finissent par s'écarter de la définition de cette dernière notion, pour la réduire à la (seule) cession des actifs composant le complexe immobilier du défendeur. Elles omettent de signaler que le transfert de patrimoine implique la cession d'actifs et de passifs ( art. 69 al. 1 et 71 LFus ). A cet égard, le fait que la LFus est entrée en vigueur le 1er juillet 2004 n'y change rien : l'art. 181 aCO s'appliquait aussi à la remise, avec actifs et passifs, de toute entreprise qui était exploitée en Suisse ( ATF 108 II 107 consid. 1).</w:t>
      </w:r>
    </w:p>
    <w:p>
      <w:r>
        <w:t>Force est de constater que l'opinion des recourantes s'apparente davantage à un postulat qu'à une véritable démonstration, fondée sur une interprétation objective d'éléments concrets pertinents. Aucune des " circonstances déterminantes à prendre en compte selon le principe de la confiance " qu'elles évoquent ne permet d'asseoir leur position. On comprend certes, sur la base de ces éléments (qu'elles se limitent à mentionner), que leur intention était d'éviter, par la clause de remboursement ( art. 3 let . e de la convention), que le défendeur ne " s'enrichisse de façon unilatérale ". On ne voit par contre pas comment on pourrait aller plus loin, dans un sens favorable à leur thèse. En effet, aucun indice ne permet raisonnablement d'envisager, en application du principe de la confiance, que les parties entendaient, pour concrétiser cette intention, qualifier le transfert de patrimoine de " vente ", afin de déclencher, dans ce cas également, le mécanisme de remboursement.</w:t>
      </w:r>
    </w:p>
    <w:p>
      <w:r>
        <w:t>Les recourantes reconnaissent d'ailleurs elles-mêmes que, lors des pourparlers ayant mené à la conclusion de la convention du 18 septembre 1985, les parties ne se sont jamais référées au " transfert de patrimoine ", celui-ci n'ayant " jamais été évoqué ". C'est en vain qu'elles semblent soutenir que l'absence de toute discussion entre les parties au sujet du transfert de patrimoine ne joue aucun rôle au moment de rechercher leur volonté objective; au contraire, le fait que cet instrument juridique n'ait jamais été évoqué renforce la conviction que le terme " vente " figurant à l' art. 3 let . e de la convention a toujours été utilisé dans son sens usuel.</w:t>
      </w:r>
    </w:p>
    <w:p>
      <w:r>
        <w:t>Enfin, c'est en vain que les recourantes affirment que l'acte datant du 20 juin 2011 portant sur le transfert de patrimoine, prévoit, comme la vente, un transfert de propriété contre paiement d'un prix. D'une part, comme on vient de le voir, le transfert de patrimoine implique la cession d'actifs et de passifs (et non seulement le transfert de propriété d'un bien déterminé). D'autre part, l'acte du 20 juin 2011, n'avait pas exclusivement pour objet le transfert du patrimoine du complexe " Z.________ ", mais l'ensemble du patrimoine du défendeur. Enfin, cet acte ne prévoit pas de prix à proprement parler, mais la remise d'actions au transférant (le défendeur), étant encore précisé que la valeur des actions n'a aucun lien avec l'apport en nature effectué par le défendeur dans la société anonyme, puisque le transfert de patrimoine a eu lieu à la valeur comptable.</w:t>
      </w:r>
    </w:p>
    <w:p>
      <w:r>
        <w:rPr>
          <w:b/>
        </w:rPr>
        <w:t>E. 3.4</w:t>
      </w:r>
    </w:p>
    <w:p>
      <w:r>
        <w:t>Il résulte des considérations qui précèdent qu'on ne saurait suivre les recourantes lorsqu'elles reprochent à la cour cantonale d'avoir effectué une interprétation littérale figée sur l'usage du terme " vente ", étrangère au principe de la confiance. C'est bien en tenant compte de l'ensemble des circonstances (et non en se fondant exclusivement sur la lettre de la convention) que la cour cantonale est arrivée à la conclusion qu'aucun élément ne permettait de donner à la notion de " vente " une signification susceptible de couvrir la notion de " transfert de patrimoine ".</w:t>
      </w:r>
    </w:p>
    <w:p>
      <w:r>
        <w:t>Pour ce motif déjà, la première condition suspensive n'est pas réalisée.</w:t>
      </w:r>
    </w:p>
    <w:p>
      <w:r>
        <w:t>Cela étant, il est inutile de revenir sur la question de l'éventuelle exigence (retenue par la cour cantonale) d'une vente bénéficiaire. Il n'y a pas non plus lieu d'examiner le moyen tiré de la violation des règles sur le fardeau de la preuve ( art. 8 CC ) qui, selon l'argumentation des recourantes, présuppose la réalisation de la condition suspensive de la " vente ".</w:t>
      </w:r>
    </w:p>
    <w:p>
      <w:r>
        <w:rPr>
          <w:b/>
        </w:rPr>
        <w:t>E. 3.5</w:t>
      </w:r>
    </w:p>
    <w:p>
      <w:r>
        <w:t>Il est superflu de s'attarder sur la théorie de la transparence puisque l'interprétation de la première condition de la convention a été effectuée, comme le voulaient les recourantes, en tenant compte de la dualité juridique existant entre le défendeur et la société V.________ SA entièrement aux mains du défendeur.</w:t>
      </w:r>
    </w:p>
    <w:p>
      <w:r>
        <w:t>On observera d'ailleurs que si la formulation employée par la cour cantonale n'est - peut-être - pas idéale, elle ne fait aucune mention de la théorie de la transparence et on ne voit pas comment on pourrait inférer celle-ci des quelques lignes consacrées par les juges cantonaux à la personne du défendeur.</w:t>
      </w:r>
    </w:p>
    <w:p>
      <w:r>
        <w:rPr>
          <w:b/>
        </w:rPr>
        <w:t>E. 3.6</w:t>
      </w:r>
    </w:p>
    <w:p>
      <w:r>
        <w:t>S'agissant enfin de la (prétendue) violation de l' art. 156 CO , les recourantes considèrent que les juges cantonaux auraient dû admettre que le défendeur avait empêché la réalisation de la première condition suspensive au mépris des règles de la bonne foi, puisqu'ils venaient d'admettre se trouver en présence d'un cas d'application de la théorie de la transparence. La prémisse sur laquelle elles s'appuient (application de la théorie de la transparence) n'a toutefois pas été reprise par la Cour de céans, de sorte que le moyen se révèle sans consistance.</w:t>
      </w:r>
    </w:p>
    <w:p>
      <w:r>
        <w:t>On voit au demeurant mal comment on pourrait admettre la mauvaise foi du défendeur puisque le risque évoqué (de manière plus ou moins explicite) par celles-ci (" la perte de contrôle ", par les demanderesses, sur le patrimoine transféré), qui justifierait le déclenchement du remboursement dès qu'une dissociation du patrimoine est opérée (peu importe qu'il s'agisse ou non d'une vente au sens ordinaire), ne repose sur aucun motif objectif. La cession ayant un caractère universel, la convention conclue avec les demanderesses suit le sort du complexe (" Z.________ ") et passe au sujet reprenant. Les demandeurs gardent dès lors la possibilité de faire valoir leurs droits auprès de celui-ci. En l'occurrence, les recourantes ne prétendent pas qu'un obstacle juridique exclurait une telle intervention auprès du reprenant et il n'y a donc pas lieu d'examiner ce point de manière plus approfondie.</w:t>
      </w:r>
    </w:p>
    <w:p>
      <w:r>
        <w:rPr>
          <w:b/>
        </w:rPr>
        <w:t>E. 4</w:t>
      </w:r>
    </w:p>
    <w:p>
      <w:r>
        <w:t>Il s'agit alors d'examiner si, comme le soutiennent les recourantes, la seconde condition était réalisée, étant précisé que cette question a également été tranchée par la cour cantonale à l'aide d'une motivation subsidiaire.</w:t>
      </w:r>
    </w:p>
    <w:p>
      <w:r>
        <w:t>Les juges cantonaux ont relevé que le premier juge, qui n'avait pas pu déterminer la réelle et commune intention des parties, a retenu, en application du principe de la confiance, qu'un " développement positif " (de l'affaire immobilière) " signifiait que la situation devait permettre, avec les années, une diminution des dettes et une augmentation de la valeur de l'ensemble immobilier, ce après avoir procédé à des amortissements et équilibré le budget de l'exploitation ". Le premier juge a considéré que cette " description " était convaincante dans le contexte d'une promotion immobilière et qu'elle correspondait aux déclarations de l'avocat L.________ qui avait déclaré " que si les conditions du remboursement tendaient à éviter que le défendeur ne s'enrichisse unilatéralement, encore fallait-il que cet enrichissement s'opère en laissant prospérer la promotion immobilière dans le domaine hôtelier par une bonne et saine gestion, sans procéder ultérieurement à l'acquisition d'autres terrains ou à la transformation d'une partie de l'immeuble ". Les juges cantonaux ont ensuite constaté que les demanderesses (appelantes) n'avaient pas contesté l'interprétation textuelle du premier magistrat et, partant, que leur critique était irrecevable.</w:t>
      </w:r>
    </w:p>
    <w:p>
      <w:r>
        <w:t>Dans une motivation subsidiaire (" Au demeurant,... "), les magistrats cantonaux, procédant à une interprétation selon le principe de la confiance, ont retenu que la notion de " développement positif de l'affaire immobilière " signifiait que le remboursement était subordonné à l'essor, relevé par la comptabilité, du " Complexe Z.________ " et que, l'instruction (notamment l'expertise judiciaire) ayant montré que le complexe avait toujours généré des pertes, la seconde condition n'était pas réalisée. Le dispositif de l'arrêt cantonal se réfère (implicitement) à cette motivation puisqu'il évoque le rejet de l'appel " en tous points mal fondé " (cf. dispositif de l'arrêt cantonal p. 33 en lien avec la conclusion tirée au consid. 8 p. 32).</w:t>
      </w:r>
    </w:p>
    <w:p>
      <w:r>
        <w:rPr>
          <w:b/>
        </w:rPr>
        <w:t>E. 4.1</w:t>
      </w:r>
    </w:p>
    <w:p>
      <w:r>
        <w:t>A nouveau, force est de constater que, devant la Cour de céans, les recourantes se bornent à attaquer le second pan de la double motivation. Elles ne reviennent pas sur l'arrêt entrepris en tant qu'il a prononcé l'irrecevabilité de la motivation des demanderesses (alors appelantes). L'intimé soutient que le moyen devrait être déclaré irrecevable par la Cour de céans. Il n'y a toutefois pas lieu d'examiner ce point de manière approfondie, puisque le grief doit de toute façon être déclaré mal fondé, comme on va le voir.</w:t>
      </w:r>
    </w:p>
    <w:p>
      <w:r>
        <w:t>Sur le fond, il s'agissait de déterminer si, comme le soutiennent les recourantes, le complexe immobilier avait fait l'objet, depuis les premières étapes de sa réalisation, d'un développement positif.</w:t>
      </w:r>
    </w:p>
    <w:p>
      <w:r>
        <w:t>Les juges cantonaux ont interprété cette condition en ce sens que le remboursement était subordonné à l'essor, révélé par la comptabilité, du " Complexe Z.________ ". A la lecture de l'arrêt attaqué, on comprend que les juges précédents ont procédé à l'application du principe de la confiance, puisqu'ils indiquent que c'est à juste titre que le premier juge, qui n'était pas à même de déterminer la réelle et commune intention des parties, a procédé à l'interprétation objective.</w:t>
      </w:r>
    </w:p>
    <w:p>
      <w:r>
        <w:t>Les recourantes sont d'avis que le critère pris en compte par la cour cantonale est trop étroit et qu'il ne s'agissait pas de déterminer l'évolution de l'entreprise à l'aune de sa seule comptabilité analytique et en fonction d'une partie de la comptabilité du défendeur (celle qui concernait l'affaire immobilière). Pour autant qu'on les comprenne bien, elles semblent soutenir que les parties à la convention du 18 septembre 1985 entendaient, en parlant de " développement positif ", faire globalement référence aux affaires du défendeur (i.e à toutes les affaires conclues par celui-ci en tant que personne physique, la promotion " Z.________ " n'étant que la première affaire immobilière). Renvoyant à quelques extraits de déclarations prétendument favorables à leur thèse, les recourantes en veulent pour preuve que la condition d'un " remboursement subordonné à un avenir meilleur " était envisagée et qu'une notion aussi générale que celle de " développement positif " laisse entendre que " tous les aspects du bon sens devaient être pris en compte ". Cette argumentation, qui conduit à une définition du " développement positif " quasiment exempte de tout rattachement concret, est totalement impropre à remettre en cause l'interprétation objective entreprise par la cour cantonale, qui repose sur la prise en compte de la lettre de la clause controversée, du contexte dans lequel celle-ci s'inscrit (soit la comparaison avec d'autres règles de la même convention), des déclarations du rédacteur de l'accord, de la logique du contrat et d'autres circonstances encore signalées par la cour cantonale. Les recourantes ne sont d'ailleurs pas loin de le reconnaître (au moins implicitement) puisqu'elles admettent, au détour d'un paragraphe de leur mémoire, que leur position est dictée par une simple " impression " (" conforter l'impression ").</w:t>
      </w:r>
    </w:p>
    <w:p>
      <w:r>
        <w:rPr>
          <w:b/>
        </w:rPr>
        <w:t>E. 4.2</w:t>
      </w:r>
    </w:p>
    <w:p>
      <w:r>
        <w:t>En conclusion sur ce point, on ne saurait conférer à la notion de " développement positif " utilisée à l' art. 3 let . e de la convention la portée que les recourantes entendent lui donner et le grief soulevé par celles-ci se révèle infondé.</w:t>
      </w:r>
    </w:p>
    <w:p>
      <w:r>
        <w:rPr>
          <w:b/>
        </w:rPr>
        <w:t>E. 5</w:t>
      </w:r>
    </w:p>
    <w:p>
      <w:r>
        <w:t>Il résulte des considérations qui précèdent que le recours en matière civile doit être rejeté dans la mesure où il est recevable.</w:t>
      </w:r>
    </w:p>
    <w:p>
      <w:r>
        <w:t>Les frais et les dépens sont mis solidairement à la charge des recourantes,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