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4A_267/2011 vom 29. Juni 2011</w:t>
      </w:r>
    </w:p>
    <w:p>
      <w:r>
        <w:t>Bundesgericht, 2011-06-29, FR</w:t>
      </w:r>
    </w:p>
    <w:p>
      <w:r>
        <w:rPr>
          <w:b/>
        </w:rPr>
        <w:t xml:space="preserve">Quelle: </w:t>
      </w:r>
      <w:r>
        <w:t>https://mcp.opencaselaw.ch/entscheid/bger_4A_267_2011</w:t>
      </w:r>
    </w:p>
    <w:p>
      <w:r>
        <w:t>FR: TF 4A_267/2011 du 29 juin 2011</w:t>
      </w:r>
    </w:p>
    <w:p>
      <w:r>
        <w:t>IT: TF 4A_267/2011 del 29 giugno 2011</w:t>
      </w:r>
    </w:p>
    <w:p>
      <w:pPr>
        <w:pStyle w:val="Heading2"/>
      </w:pPr>
      <w:r>
        <w:t>Erwägungen</w:t>
      </w:r>
    </w:p>
    <w:p>
      <w:r>
        <w:rPr>
          <w:b/>
        </w:rPr>
        <w:t>E. 1.1</w:t>
      </w:r>
    </w:p>
    <w:p>
      <w:r>
        <w:t>Interjeté par la partie qui a été condamnée à paiement ( art. 76 al. 1 LTF ) et dirigé contre un arrêt final ( art. 90 LTF ) rendu en matière civile ( art. 72 al. 1 LTF ) par une autorité cantonale de dernière instance ( art. 75 LTF ) dans une affaire pécuniaire dont la valeur litigieuse dépasse le seuil de 15'000 fr. requis en matière de droit du bail ( art. 74 al. 1 let. a LTF ), le recours est en principe recevable, puisqu'il a été déposé dans le délai (art. 46 al. 1 let. a, 48 al. 1 et 100 al. 1 LTF) et la forme ( art. 42 LTF ) prévus par la loi.</w:t>
      </w:r>
    </w:p>
    <w:p>
      <w:r>
        <w:rPr>
          <w:b/>
        </w:rPr>
        <w:t>E. 1.2</w:t>
      </w:r>
    </w:p>
    <w:p>
      <w:r>
        <w:t>Le recours peut être interjeté pour violation du droit, tel qu'il est délimité par les art. 95 et 96 LTF . La notion de droit fédéral englobe également les droits constitutionnels ( ATF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En l'occurrence, la recourante se borne à invoquer, dans l'énumération de ses moyens, la transgression du "principe de la protection contre l'arbitraire garanti par l'art. 9 de la Constitution fédérale suisse", sans fournir le début d'une motivation quant à ce grief. Celui-ci est dès lors irrecevable.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à défaut d'une telle motivation, il n'est pas possible de prendre en considération un état de fait qui diverge de celui contenu dans la décision attaquée, ni des faits qui n'y sont pas contenus ( ATF 136 I 184 consid. 1.2 p. 187; 133 IV 286 consid. 1.4 et 6.2). La recourante ne peut demander une rectification de l'état de fait que si celle-ci est de nature à influer sur le sort de la cause ( art. 97 al. 1 LTF ). Aucun fait nouveau ni preuve nouvelle ne peut être présenté à moins de résulter de la décision de l'autorité précédente ( art. 99 al. 1 LTF ).</w:t>
      </w:r>
    </w:p>
    <w:p>
      <w:r>
        <w:t>En l'espèce, la recourante entreprend, aux pages 6 à 14 de son mémoire, un exposé des faits, en mentionnant diverses pièces du dossier à titre de "preuve". Dès lors qu'elle n'invoque pas l'arbitraire ( art. 9 Cst. ) et ne démontre pas, de manière précise, avec référence à des pièces du dossier, qu'un fait aurait été constaté ou omis de manière insoutenable, il n'y a pas lieu d'en tenir compte et le raisonnement doit être mené sur la base de l'état de fait contenu dans la décision attaquée.</w:t>
      </w:r>
    </w:p>
    <w:p>
      <w:r>
        <w:rPr>
          <w:b/>
        </w:rPr>
        <w:t>E. 1.4</w:t>
      </w:r>
    </w:p>
    <w:p>
      <w:r>
        <w:t>Le Tribunal fédéral ne peut aller au-delà des conclusions des parties ( art. 107 al. 1 LTF ). Toute conclusion nouvelle est irrecevable ( art. 99 al. 2 LTF ).</w:t>
      </w:r>
    </w:p>
    <w:p>
      <w:r>
        <w:rPr>
          <w:b/>
        </w:rPr>
        <w:t>E. 2.1</w:t>
      </w:r>
    </w:p>
    <w:p>
      <w:r>
        <w:t>La recourante revient sur la question de la prescription des prétentions de l'intimée qui était, selon elle, acquise lorsque cette dernière a déposé sa requête devant la Commission de conciliation en matière de baux et loyers. Elle rappelle avoir recouru au Tribunal fédéral contre l'arrêt du 18 janvier 2010 de la Cour de justice qui a conclu que les prétentions de la locataire n'étaient pas prescrites lorsqu'elle a déposé sa requête. Dans son arrêt du 15 mars 2010 (4A_139/2010), le Tribunal fédéral ne s'est pas prononcé sur le fond, le recours n'étant pas recevable sur la base de l' art. 93 al. 1 LTF .</w:t>
      </w:r>
    </w:p>
    <w:p>
      <w:r>
        <w:t>L'arrêt cantonal du 14 mars 2011 étant une décision finale (cf. supra consid. 1.1), la Cour de céans peut aujourd'hui examiner les griefs invoqués par la recourante en rapport avec la question de la prescription des prétentions de la locataire.</w:t>
      </w:r>
    </w:p>
    <w:p>
      <w:r>
        <w:t>La recourante observe que l'intimée n'a pas contesté les soldes des décomptes des exercices 2003-2004 et 2004-2005 et qu'elle les a entièrement payés. Elle ajoute que, bien que la locataire ait demandé l'ajustement du décompte 2005-2006 (donc qu'elle ait contesté celui-ci à demi-mot), elle s'est néanmoins acquittée entièrement du solde. Elle en déduit que le délai de prescription de l' art. 128 ch. 1 CO n'est pas applicable en l'espèce et qu'il convient d'examiner l'exception de prescription sur la base de l' art. 67 al. 1 CO .</w:t>
      </w:r>
    </w:p>
    <w:p>
      <w:r>
        <w:rPr>
          <w:b/>
        </w:rPr>
        <w:t>E. 2.2</w:t>
      </w:r>
    </w:p>
    <w:p>
      <w:r>
        <w:t>Dans un arrêt du 29 avril 2002, le Tribunal fédéral s'est penché sur la question de la prescription d'une prétention en répétition d'acomptes de charges ou frais accessoires payés en trop; il a distingué deux hypothèses: avant la présentation du décompte (comprenant la présentation du solde) et son acceptation par l'autre partie, l'erreur doit être corrigée selon les règles contractuelles, de sorte que le délai de prescription est de cinq ans, en vertu de l' art. 128 ch. 1 CO ; après l'établissement du décompte et son acceptation, la correction du décompte et la prétention en découlant se fait sur la base des dispositions en matière d'enrichissement illégitime, de sorte que le délai (relatif) est d'une année ( art. 67 al. 1 CO ) (arrêt 4C.24/2002 du 29 avril 2002 consid. 3.3).</w:t>
      </w:r>
    </w:p>
    <w:p>
      <w:r>
        <w:t>En l'espèce, il n'est pas nécessaire de déterminer si l'on se trouve, en particulier en ce qui concerne le décompte relatif à la période 2005-2006 contesté à demi-mot par la locataire, dans le cadre de la première ou de la seconde hypothèse visées par l'arrêt du Tribunal fédéral susmentionné. Dans les deux cas, la prescription n'était pas acquise au moment de l'introduction de la requête devant la Commission de conciliation.</w:t>
      </w:r>
    </w:p>
    <w:p>
      <w:r>
        <w:t>En effet, à supposer que les décomptes - en particulier celui relatif à l'exercice 2005-2006 - n'aient pas été acceptés (première hypothèse), la prescription applicable de cinq ans ( art. 128 ch. 1 CO ) n'est manifestement pas atteinte.</w:t>
      </w:r>
    </w:p>
    <w:p>
      <w:r>
        <w:rPr>
          <w:b/>
        </w:rPr>
        <w:t>E. 2.3</w:t>
      </w:r>
    </w:p>
    <w:p>
      <w:r>
        <w:t>Si l'on considère (deuxième hypothèse) que les décomptes ont au contraire été acceptés par la locataire, la prescription annale de l' art. 67 al. 1 CO n'est, ainsi qu'on le verra ci-après, pas non plus atteinte.</w:t>
      </w:r>
    </w:p>
    <w:p>
      <w:r>
        <w:rPr>
          <w:b/>
        </w:rPr>
        <w:t>E. 2.3.1</w:t>
      </w:r>
    </w:p>
    <w:p>
      <w:r>
        <w:t>Selon l' art. 67 al. 1 CO , l'action pour cause d'enrichissement illégitime se prescrit par un an à compter du jour où la partie lésée a eu connaissance de son droit de répétition, et, dans tous les cas, par dix ans dès la naissance de ce droit.</w:t>
      </w:r>
    </w:p>
    <w:p>
      <w:r>
        <w:t>La connaissance propre à faire courir le délai annal de l' art. 67 al. 1 CO existe lorsque le créancier a acquis un tel degré de certitude sur les faits qui fondent son droit à répétition que l'on peut dire, selon les règles de la bonne foi, qu'il n'a plus de raison ou n'a plus de possibilité de recueillir d'avantage d'informations supplémentaires et qu'il dispose de suffisamment d'éléments pour ouvrir action, de telle sorte qu'on peut raisonnablement attendre de lui qu'il le fasse ( ATF 127 III 421 consid. 4b p. 427). La certitude relative au droit de répétition suppose la connaissance de l'étendue approximative de l'atteinte au patrimoine, de l'absence de cause du déplacement patrimonial et de la personne de l'enrichi ( ATF 129 III 503 consid. 3.4 p. 506). Contrairement à la réglementation prévue par l' art. 26 CO pour l'erreur, peu importe le moment auquel le lésé aurait pu connaître son droit de répétition en faisant preuve de l'attention commandée par les circonstances; seule compte la connaissance effective de la prétention ( ATF 109 II 433 consid. 2 p. 434 s.). On exige toutefois du créancier qui connaît les éléments essentiels de sa prétention qu'il se renseigne sur les détails et recueille les données précises dont il a besoin pour mener la procédure ( ATF 129 III 503 consid. 3.4 p. 505 s. et les références).</w:t>
      </w:r>
    </w:p>
    <w:p>
      <w:r>
        <w:rPr>
          <w:b/>
        </w:rPr>
        <w:t>E. 2.3.2</w:t>
      </w:r>
    </w:p>
    <w:p>
      <w:r>
        <w:t>En l'espèce, on ne peut pas suivre la recourante lorsqu'elle soutient que l'intimée disposait de tous les éléments lui permettant de fonder une prétention pour enrichissement illégitime dès le 5 octobre 2006.</w:t>
      </w:r>
    </w:p>
    <w:p>
      <w:r>
        <w:t>Selon les constatations cantonales - qui lient le Tribunal fédéral ( art. 105 al. 1 LTF ) -, la locataire a reçu à cette date la clé de répartition des charges et frais accessoires. Dotée de cette information, elle pouvait certes se rendre compte que les décomptes qu'elle avait reçus étaient basés sur un pourcentage différent de celui correspondant à la clé de répartition; la locataire a d'ailleurs rapidement (soit le 9 octobre 2006) exprimé ses doutes à la bailleresse, lui indiquant qu'il lui "[semblait] erroné qu'[elle] ait à supporter plus de dix pour cent des frais accessoires etc... alors qu'[elle occupait] moins de cinq pour cent de la superficie et du cubage de l'immeuble". La bailleresse n'ayant donné aucune réponse à la locataire, celle-ci est toutefois restée dans l'incertitude; en particulier, elle n'était pas à même de savoir si la différence constatée était due à une application erronée, par la bailleresse, de la clé de répartition communiquée le 5 octobre 2006 ou à une erreur dans la fixation même de cette clé. Il résulte d'ailleurs des faits établis par la cour précédente que la locataire n'a alors eu de cesse de solliciter de sa bailleresse qu'elle recherche l'erreur affectant les décomptes, la première requête en ce sens ressortant de ce même courrier électronique du 9 octobre 2006.</w:t>
      </w:r>
    </w:p>
    <w:p>
      <w:r>
        <w:t>La bailleresse est mal venue de plaider que la locataire disposait des informations nécessaires et qu'il lui suffisait de vérifier les charges et les frais accessoires dus en appliquant la clé de répartition communiquée le 5 octobre 2006, puis en comparant le résultat obtenu avec les décomptes litigieux. Il ressort des constatations cantonales qu'elle doutait elle-même de l'exactitude de la clé de répartition appliquée jusqu'alors puisqu'elle a mandaté, après que la locataire l'a relancé au sujet du problème des décomptes, une entreprise spécialisée pour vérifier les mesures des surfaces et établir une nouvelle clé de répartition.</w:t>
      </w:r>
    </w:p>
    <w:p>
      <w:r>
        <w:t>Cela étant, on ne saurait dire que la locataire disposait, dès le 5 octobre 2006, de suffisamment d'éléments pour ouvrir une action judiciaire. En particulier, elle n'avait encore aucune certitude s'agissant de l'erreur commise et, partant, de l'étendue approximative de l'atteinte à son patrimoine.</w:t>
      </w:r>
    </w:p>
    <w:p>
      <w:r>
        <w:t>Les échanges de correspondances qui s'en sont suivis dès la fin 2006 n'ont pas apporté plus d'informations utiles à la locataire. Il n'en va pas différemment du courrier du 21 novembre 2007; la recourante a admis qu'une erreur entachait les décomptes de charges et de frais accessoires et a parlé d'une "erreur dans la clé de répartition", sans toutefois donner les informations nécessaires permettant à la locataire de comprendre le montant qu'elle aurait versé de façon indue à la bailleresse.</w:t>
      </w:r>
    </w:p>
    <w:p>
      <w:r>
        <w:t>Il a fallu attendre le 8 mai 2008 pour que la bailleresse communique à la locataire l'information lui permettant d'écarter toute incertitude et de comprendre l'erreur qui avait été commise, soit un tableau qui indiquait que le pourcentage de charges dû par la locataire avait été calculé à 4,78% avec la nouvelle clé de répartition, alors que le pourcentage - incorrect - qui avait été appliqué jusqu'alors à la surface louée par l'intimée avait été de 10,34%. Le délai d'une année de l' art. 67 al. 1 CO a commencé à courir dès le 8 mai 2008 et la prescription n'était donc pas acquise lorsque la locataire a introduit sa requête, le 23 juin 2008, devant la Commission de conciliation en matière de baux et loyers.</w:t>
      </w:r>
    </w:p>
    <w:p>
      <w:r>
        <w:t>On pourrait se demander, au regard des circonstances d'espèce, s'il n'eût pas fallu retenir la date de réception de l'avis de modification du bail du 15 février 2008, auquel était jointe la nouvelle clé de répartition, comme dies a quo du délai de prescription de l' art. 67 al. 1 CO , dans la mesure où cette communication a permis à l'intimée de comprendre que l'erreur consistait en l'application erronée de la clé de répartition (thèse confirmée par la communication de la bailleresse du 8 mai 2008). La question peut toutefois rester indécise puisque, même à admettre une réponse positive, la prescription ne serait pas non plus acquise.</w:t>
      </w:r>
    </w:p>
    <w:p>
      <w:r>
        <w:t>Le grief selon lequel la Cour de justice aurait admis à tort que la prescription n'était pas acquise doit être déclaré mal fondé.</w:t>
      </w:r>
    </w:p>
    <w:p>
      <w:r>
        <w:rPr>
          <w:b/>
        </w:rPr>
        <w:t>E. 3</w:t>
      </w:r>
    </w:p>
    <w:p>
      <w:r>
        <w:t>La recourante est enfin d'avis que la locataire n'est pas fondée à obtenir la restitution des charges payées, l'une des conditions d'application de l' art. 62 CO n'étant pas réalisée. Elle soutient en effet qu'elle ne se trouve pas enrichie par les prestations versées par l'intimée, puisque d'autres locataires de l'immeuble ont payé moins de charges; le décompte total des charges et frais serait ainsi "juste et incontestable dans sa globalité".</w:t>
      </w:r>
    </w:p>
    <w:p>
      <w:r>
        <w:t>La critique de la recourante est sans consistance.</w:t>
      </w:r>
    </w:p>
    <w:p>
      <w:r>
        <w:t>Son argumentation revient à examiner, dans l'application de l' art. 62 al. 1 CO , exclusivement la situation patrimoniale de l'enrichi; dans cette perspective, la recourante, qui a été "appauvrie" dans le cadre de ses rapports contractuels avec d'autres locataires (tiers), n'aurait en l'occurrence subi aucun enrichissement. La recourante adopte ainsi un raisonnement totalement étranger à la lettre et à l'esprit de la disposition qu'elle invoque puisque, selon l' art. 62 al. 1 CO , l'enrichissement doit avoir lieu "aux dépens d'autrui". Lorsque, comme en l'espèce, l'enrichissement résulte d'un acte de l'appauvri (Leistungskondiktion), il doit exister un lien de connexité entre l'enrichissement de l'un et l'appauvrissement de l'autre (sur l'ensemble de la question: HERMAN SCHULIN, in Basler Kommentar, Obligationenrecht I, no 8 s. ad art. 62 CO et les références; GILLES PETITPIERRE, in Commentaire romand, Code des obligations I, no 11 s. ad art. 62 CO ); il convient ainsi de tenir compte du déplacement d'une valeur (en l'occurrence des montants payés à titre de charges et frais accessoires) du patrimoine de l'appauvrie (la locataire) à celui de l'enrichie (la bailleresse) et non de faire intervenir des personnes étrangères à cette relation.</w:t>
      </w:r>
    </w:p>
    <w:p>
      <w:r>
        <w:t>Quant au montant de l'enrichissement, tel qu'établi par la première instance et confirmé par la Cour de justice, celui-ci n'est plus discuté devant la Cour de céans et il n'y a pas lieu d'y revenir (cf. supra consid. 1.2).</w:t>
      </w:r>
    </w:p>
    <w:p>
      <w:r>
        <w:rPr>
          <w:b/>
        </w:rPr>
        <w:t>E. 4</w:t>
      </w:r>
    </w:p>
    <w:p>
      <w:r>
        <w:t>Il ressort des considérants qui précèdent que le recours en matière civile doit être rejeté dans la mesure où il est recevable.</w:t>
      </w:r>
    </w:p>
    <w:p>
      <w:r>
        <w:t>Les frais judiciaires et les dépens sont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