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266/2023 vom 11. Oktober 2023</w:t>
      </w:r>
    </w:p>
    <w:p>
      <w:r>
        <w:t>Bundesgericht, 2023-10-11, DE</w:t>
      </w:r>
    </w:p>
    <w:p>
      <w:r>
        <w:rPr>
          <w:b/>
        </w:rPr>
        <w:t xml:space="preserve">Quelle: </w:t>
      </w:r>
      <w:r>
        <w:t>https://mcp.opencaselaw.ch/entscheid/bger_4A_266_2023</w:t>
      </w:r>
    </w:p>
    <w:p>
      <w:r>
        <w:t>FR: TF 4A 266/2023 du 11 octobre 2023</w:t>
      </w:r>
    </w:p>
    <w:p>
      <w:r>
        <w:t>IT: TF 4A 266/2023 del 11 ottobre 2023</w:t>
      </w:r>
    </w:p>
    <w:p>
      <w:pPr>
        <w:pStyle w:val="Heading2"/>
      </w:pPr>
      <w:r>
        <w:t>Regeste</w:t>
      </w:r>
    </w:p>
    <w:p>
      <w:r>
        <w:t>Theorie der doppelrevelanten Tatsachen; Zwischenentscheid, | Obligationenrecht (allgemein)</w:t>
      </w:r>
    </w:p>
    <w:p>
      <w:pPr>
        <w:pStyle w:val="Heading2"/>
      </w:pPr>
      <w:r>
        <w:t>Erwägungen</w:t>
      </w:r>
    </w:p>
    <w:p>
      <w:r>
        <w:rPr>
          <w:b/>
        </w:rPr>
        <w:t>E. 1</w:t>
      </w:r>
    </w:p>
    <w:p>
      <w:r>
        <w:t>Die Beschwerde ist zulässig gegen selbstständig eröffnete Vor- und Zwischenentscheide, welche die Zuständigkeit oder den Ausstand betreffen ( Art. 92 Abs. 1 BGG ). Gegen andere selbstständig eröffnete Vor- und Zwischenentscheide ist die sofortige Beschwerde nur unter den alternativen Voraussetzungen nach Art. 93 Abs. 1 lit. a und b BGG gegeben ( BGE 144 III 475 E. 1 mit Hinweisen).</w:t>
      </w:r>
    </w:p>
    <w:p>
      <w:r>
        <w:rPr>
          <w:b/>
        </w:rPr>
        <w:t>E. 2.1</w:t>
      </w:r>
    </w:p>
    <w:p>
      <w:r>
        <w:t>Der vorinstanzlichen Rechtsmittelbelehrung zufolge soll es sich beim angefochtenen Urteil um einen "Zwischenentscheid im Sinne von Art. 92 BGG " handeln. Dies trifft nicht zu:</w:t>
      </w:r>
    </w:p>
    <w:p>
      <w:r>
        <w:rPr>
          <w:b/>
        </w:rPr>
        <w:t>E. 2.2</w:t>
      </w:r>
    </w:p>
    <w:p>
      <w:r>
        <w:t>Im kantonalen Verfahren war umstritten, ob die vom Beschwerdegegner eingegebene Klage eine solche "aus Miete" ist. Gemäss Art. 33 ZPO wäre in diesem Fall das Gericht am Ort der gelegenen Sache (V.________) und nach § 21 Abs. 1 lit. a GOG/ZH (LS 211.1) das Mietgericht zuständig. So argumentiert die Beschwerdeführerin. Dementsprechend hält sie das Bezirksgericht Hinwil sowohl in örtlicher als auch in sachlicher Hinsicht für unzuständig. Der Beschwerdegegner stellt sich dagegen auf den Standpunkt, dass er keine mietrechtlichen Ansprüche, sondern vertragliche Ansprüche aus dem "Übernahmevertrag" geltend mache. Die besonderen Zuständigkeitsregeln für Streitigkeiten aus Miete ( Art. 33 ZPO ; § 21 Abs. 1 lit. a GOG/ZH) seien nicht anwendbar und seine Klage am Bezirksgericht Hinwil sei zulässig.</w:t>
      </w:r>
    </w:p>
    <w:p>
      <w:r>
        <w:rPr>
          <w:b/>
        </w:rPr>
        <w:t>E. 2.3</w:t>
      </w:r>
    </w:p>
    <w:p>
      <w:r>
        <w:t>Das Bezirksgericht erwog, die Vorbringen des Beschwerdegegners zur Zuständigkeit seien "auch für die Beurteilung der Begründetheit der Forderung von Relevanz". Es gehe um "doppelrelevante Tatsachen", die im Rahmen der Zuständigkeitsprüfung "als wahr zu unterstellen" seien, zumal sie nicht auf Anhieb fadenscheinig erschienen. Hänge nämlich die Zuständigkeit des Gerichts von der Natur des Anspruchs ab (etwa bei Miet- oder Arbeitsverhältnissen), so sei für die Zuständigkeitsfrage "primär auf den vom Kläger geltend gemachten Anspruch sowie dessen Begründung abzustellen". In der Folge prüfte das Bezirksgericht gestützt auf den "als wahr unterstellten" Tatsachenvortrag des Beschwerdegegners, ob es sich um eine Klage aus Miete im Sinne von Art. 33 ZPO und § 21 Abs. 1 lit. a GOG/ZH handelt. Es verneinte dies und bejahte folglich seine Zuständigkeit.</w:t>
      </w:r>
    </w:p>
    <w:p>
      <w:r>
        <w:rPr>
          <w:b/>
        </w:rPr>
        <w:t>E. 2.4</w:t>
      </w:r>
    </w:p>
    <w:p>
      <w:r>
        <w:t>Das Obergericht schützte diesen Entscheid, wobei es ebenfalls ausdrücklich von der "Theorie der doppelrelevanten Tatsachen" ausging. Es betonte, dass doppelrelevante Tatsachen im Rahmen der Zuständigkeitsprüfung "nicht bewiesen" werden müssten. Vielmehr werde auf Grundlage der als wahr unterstellten Behauptungen und Anträge des Klägers über die Zuständigkeit entschieden. Die Vorinstanz erachtete folglich "für die Zuständigkeitsfrage [...] die Sachdarstellung des Klägers" als massgebend, hielt diese für "schlüssig" und bestätigte den Beschluss des Bezirksgerichts.</w:t>
      </w:r>
    </w:p>
    <w:p>
      <w:r>
        <w:rPr>
          <w:b/>
        </w:rPr>
        <w:t>E. 2.5</w:t>
      </w:r>
    </w:p>
    <w:p>
      <w:r>
        <w:t>Als doppelrelevant werden Tatsachen bezeichnet, von denen sowohl die Zulässigkeit einer Klage als auch ihre materielle Begründetheit abhängt. Sie werden - soweit der klägerische Tatsachenvortrag nicht auf Anhieb fadenscheinig oder inkohärent erscheint - für die Beurteilung der Zulässigkeit der Klage als wahr unterstellt und erst im Moment der materiellen Prüfung des eingeklagten Anspruchs untersucht. Das Gericht muss im Eintretensstadium einzig prüfen, ob die Behauptungen des Klägers schlüssig sind und demnach in rechtlicher Hinsicht den Schluss auf den von diesem angerufenen Gerichtsstand zulassen (im Einzelnen BGE 147 III 159 E. 2.1.2; 142 III 466 E. 4.1; 141 III 294 E. 5.1 f.). Der Entscheid, mit dem ein Gericht die klägerischen Vorbringen als schlüssig betrachtet, um auf die Klage nach der Theorie der doppelrelevanten Tatsachen eintreten zu können, ist kein Zwischenentscheid nach Art. 92 BGG , weil die Zuständigkeitsfrage darin nicht effektiv entschieden ist ( BGE 147 III 159 E. 3). Dies gilt gleichermassen für entsprechende Entscheide der Erstinstanz im Klageverfahren wie auch für entsprechende Entscheide der zweiten Instanz, mit denen die Sache an die Erstinstanz zurückgewiesen wird, um die Klage zu behandeln, oder mit denen ein erstinstanzlicher Entscheid, auf die Klage einzutreten, bestätigt wird. Dies ist ständige Rechtsprechung ( BGE 147 III 159 E. 3; Urteile 4A_410/2023, 4A_412/2023 und 4A_414/2023, je vom 20. September 2023 E. 3; 4A_219/2023 vom 9. Mai 2023 E. 2.1; 4A_393/2022 vom 26. April 2023 E. 1.1; 4A_429/2020 vom 5. Mai 2021 E. 2).</w:t>
      </w:r>
    </w:p>
    <w:p>
      <w:r>
        <w:rPr>
          <w:b/>
        </w:rPr>
        <w:t>E. 2.6</w:t>
      </w:r>
    </w:p>
    <w:p>
      <w:r>
        <w:t>Das angefochtene Urteil stellt demnach keinen Entscheid über die Zuständigkeit im Sinne von Art. 92 BGG , sondern einen Zwischenentscheid gemäss Art. 93 BGG dar. Wohl ist in der Rechtsmittelbelehrung von einem "Zwischenentscheid im Sinne von Art. 92 BGG " die Rede. Indes bindet die falsche Rechtsmittelbelehrung des Obergerichts das Bundesgericht nicht, und sie schafft insbesondere kein Rechtsmittel, das gemäss Gesetz nicht gegeben ist ( BGE 140 III 571 E. 1.2; 135 III 470 E. 1.2). Vorliegend ergibt sich die Unrichtigkeit der vorinstanzlichen Rechtsmittelbelehrung aus BGE 147 III 159 E. 3, mithin aus der in der amtlichen Sammlung veröffentlichten bundesgerichtlichen Rechtsprechung, wovon die anwaltlich vertretene Beschwerdeführerin Kenntnis haben muss (Urteil 4A_573/2021 vom 17. Mai 2022 E. 4; vgl. auch BGE 134 III 534 E. 3.2.3.3). Es bleibt daher dabei, dass die Beschwerde nur unter den Voraussetzungen von Art. 93 BGG zulässig ist.</w:t>
      </w:r>
    </w:p>
    <w:p>
      <w:r>
        <w:rPr>
          <w:b/>
        </w:rPr>
        <w:t>E. 3</w:t>
      </w:r>
    </w:p>
    <w:p>
      <w:r>
        <w:t>Gegen selbstständig eröffnete Vor- und Zwischenentscheide nach Art. 93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Es obliegt der beschwerdeführenden Partei, darzutun, dass die Voraussetzungen von Art. 93 BGG erfüllt sind, soweit deren Vorliegen nicht offensichtlich in die Augen springt ( BGE 142 III 798 E. 2.2). Die Beschwerdeführerin äussert sich nicht zu den Zulässigkeitsvoraussetzungen nach Art. 93 Abs. 1 BGG . Dass diese gegeben wären, springt auch nicht offensichtlich ins Auge.</w:t>
      </w:r>
    </w:p>
    <w:p>
      <w:r>
        <w:rPr>
          <w:b/>
        </w:rPr>
        <w:t>E. 4</w:t>
      </w:r>
    </w:p>
    <w:p>
      <w:r>
        <w:t>Nach dem Gesagten kann auf die Beschwerde nicht eingetreten werden.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