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4A_266/2021 vom 16. September 2021</w:t>
      </w:r>
    </w:p>
    <w:p>
      <w:r>
        <w:t>Bundesgericht, 2021-09-16, DE</w:t>
      </w:r>
    </w:p>
    <w:p>
      <w:r>
        <w:rPr>
          <w:b/>
        </w:rPr>
        <w:t xml:space="preserve">Quelle: </w:t>
      </w:r>
      <w:r>
        <w:t>https://mcp.opencaselaw.ch/entscheid/bger_4A_266_2021</w:t>
      </w:r>
    </w:p>
    <w:p>
      <w:r>
        <w:t>FR: TF 4A_266/2021 du 16 septembre 2021</w:t>
      </w:r>
    </w:p>
    <w:p>
      <w:r>
        <w:t>IT: TF 4A_266/2021 del 16 settembre 2021</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w:t>
      </w:r>
    </w:p>
    <w:p>
      <w:r>
        <w:rPr>
          <w:b/>
        </w:rPr>
        <w:t>E. 1.2</w:t>
      </w:r>
    </w:p>
    <w:p>
      <w:r>
        <w:t>Der Streitwert bestimmt sich nach den vor der Vorinstanz streitig gebliebenen Begehren ( Art. 51 Abs. 1 lit. a BGG ). Dieser übersteigt die in arbeitsrechtlichen Streitigkeiten erforderliche Schwelle von Fr. 15'000.-- ( Art. 74 Abs. 1 lit. a BGG ). Die Beschwerde ist zulässig, wenn die vor der Vorinstanz streitig gebliebenen Begehren den erforderlichen Streitwert erreichen würden, die einzig angefochtene Parteientschädigung jedoch unter der Streitwertgrenze bleibt ( BGE 137 III 47 E. 1.2.2; Urteil 4A_378/2020 und 4A_382/2020 vom 2. März 2021 E. 1.2). Folglich ist irrelevant, dass die vor Bundesgericht gestellten Rechtsbegehren die erwähnte Schwelle nicht erreichen, weil - im Unterschied zum vorinstanzlichen Verfahren - bloss die Kostenliquidation angefochten ist.</w:t>
      </w:r>
    </w:p>
    <w:p>
      <w:r>
        <w:rPr>
          <w:b/>
        </w:rPr>
        <w:t>E. 1.3</w:t>
      </w:r>
    </w:p>
    <w:p>
      <w:r>
        <w:t>Da auch die übrigen Sachurteilsvoraussetzungen erfüllt sind, ist unter Vorbehalt hinreichender Begründung ( Art. 42 Abs. 2 und Art. 106 Abs. 2 BGG )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rPr>
          <w:b/>
        </w:rPr>
        <w:t>E. 3</w:t>
      </w:r>
    </w:p>
    <w:p>
      <w:r>
        <w:t>Beanstandet wird die Verteilung der Prozesskosten für das erstinstanzliche Verfahren.</w:t>
      </w:r>
    </w:p>
    <w:p>
      <w:r>
        <w:rPr>
          <w:b/>
        </w:rPr>
        <w:t>E. 3.1</w:t>
      </w:r>
    </w:p>
    <w:p>
      <w:r>
        <w:t>Die Vorinstanz erwog, die (erstinstanzlichen) Rechtsbegehren Ziff. 2-5 des Beschwerdeführers seien teilweise gutgeheissen worden, zum Teil habe auf diese nicht eingetreten werden können. Der Aufwand, sie zu beurteilen, sei gering gewesen, was sich allein aus dem Umfang der entsprechenden erstinstanzlichen Urteilserwägungen ergebe. Aus diesen Gründen habe sich die Erstinstanz beim Kostenentscheid zu Recht allein auf den Ausgang des Verfahrens über das quantifizierbare Rechtsbegehren Ziff. 1 gestützt. Mit diesem habe der Beschwerdeführer einen Betrag von Fr. 70'000.-- gefordert. Gemäss ihrem Urteil, das heisst jenem der Vorinstanz, habe die Beschwerdegegnerin neu einen Betrag von Fr. 8'070.55 netto (statt Fr. 5'677.55) und - wie von der Erstinstanz zutreffend erkannt - Fr. 7'476.20 brutto zu bezahlen. Deshalb rechtfertige es sich, die erstinstanzliche Kostenverteilung leicht zu Gunsten des Beschwerdeführers zu korrigieren und ihm drei Viertel, ausmachend Fr. 6'975.--, und der Beschwerdegegnerin einen Viertel, ausmachend Fr. 2'325.--, der Prozesskosten aufzuerlegen.</w:t>
      </w:r>
    </w:p>
    <w:p>
      <w:r>
        <w:rPr>
          <w:b/>
        </w:rPr>
        <w:t>E. 3.2</w:t>
      </w:r>
    </w:p>
    <w:p>
      <w:r>
        <w:t>Der Beschwerdeführer beanstandet diese Verteilung. Die Vorinstanz habe gegen Art. 91, Art. 93 Abs. 1 und Art. 106 Abs. 2 ZPO verstossen, wenn sie den erstinstanzlichen Entscheid gestützt habe, wonach beim Kostenentscheid allein der Ausgang des Verfahrens betreffend das quantifizierbare Rechtsbegehren Ziff. 1 von Bedeutung sei, da die Beurteilung der Rechtsbegehren Ziff. 2-5 einen geringen Aufwand verursacht habe. Die Rechtsverletzung liege einerseits darin, dass die Vorinstanz bei der Kostenverlegung teilweise einzig und allein auf den Aufwand des Gerichts abgestellt habe. Andererseits habe sie den Rechtsbegehren Ziff. 2-5 keinen Streitwert beigemessen, obwohl auch Rechtsbegehren, welche nicht auf eine bestimmte Geldsumme lauteten, einen Streitwert hätten.</w:t>
      </w:r>
    </w:p>
    <w:p>
      <w:r>
        <w:t>Zudem sei das Obsiegen und das Unterliegen und damit zusammenhängend auch die Kostenauferlegung bundesrechtswidrig und willkürlich vorgenommen worden. Bei der Verteilung der Kosten hätte berücksichtigt werden müssen, dass die in Ziff. 2 enthaltenen Begehren um Herausgabe des Messschiebers, der Hydraulikpumpe und der noch vorhandenen Rubel gutgeheissen worden seien, er mithin teilweise durchgedrungen sei.</w:t>
      </w:r>
    </w:p>
    <w:p>
      <w:r>
        <w:t>Des Weiteren hätte, so der Beschwerdeführer, berücksichtigt werden müssen, dass er betreffend das Rechtsbegehren Ziff. 3 zu 50 % obsiegt habe. Dieses habe nämlich auf Herausgabe und Löschung der privaten Daten auf dem Computer am Arbeitsplatz gelautet. Sowohl die Erst- als auch die Vorinstanz hätten verkannt, dass sein Interesse auch auf Löschung und nicht bloss auf Herausgabe gerichtet gewesen sei. Die Löschung sei durch die Beschwerdegegnerin denn auch vorgenommen worden, was einer Klageanerkennung gleichkomme. Mithin sei rechtswidrigerweise nicht auf das Rechtsbegehren eingetreten worden. Zudem sei zu beachten, dass nicht er, der Beschwerdeführer, sondern die Beschwerdegegnerin die Sperrung und Löschung des E-Mail-Accounts und damit seiner Daten zu verantworten habe. Dass für dieses Begehren kein Rechtsschutzinteresse mehr bestehe, könne demnach nicht ihm angerechnet werden. Schliesslich hätte die Beschwerdegegnerin ihn auch anlässlich der Schlichtungsverhandlung auf diesen Umstand aufmerksam machen können, wodurch eine entsprechende Klage obsolet geworden wäre. Er habe von der bereits erfolgten Löschung der Daten nichts wissen können.</w:t>
      </w:r>
    </w:p>
    <w:p>
      <w:r>
        <w:t>Auch auf das erstinstanzliche Rechtsbegehren Ziff. 5 hätte die Erstinstanz, so der Beschwerdeführer, eintreten müssen. Sie sei darauf nicht eingetreten, weil die Beschwerdegegnerin kein Interesse mehr an der Mobiltelefonnummer bekundet habe und demnach kein Rechtsschutzinteresse vorhanden gewesen sei. Diese Äusserung der Beschwerdegegnerin komme ebenfalls einer Klageanerkennung gleich, weshalb er, der Beschwerdeführer, mit diesem Rechtsbegehren vollständig durchgedrungen sei, was bei der Kostenverlegung ebenfalls nicht berücksichtigt worden sei.</w:t>
      </w:r>
    </w:p>
    <w:p>
      <w:r>
        <w:rPr>
          <w:b/>
        </w:rPr>
        <w:t>E. 3.3</w:t>
      </w:r>
    </w:p>
    <w:p>
      <w:r>
        <w:t>Bei den Prozesskosten ist zu unterscheiden einerseits zwischen deren Bemessung und andererseits deren Verteilung. Vorliegend steht ausschliesslich Letzteres im Streit.</w:t>
      </w:r>
    </w:p>
    <w:p>
      <w:r>
        <w:t>Art. 106 ZPO stellt den Grundsatz auf, dass die Prozesskosten der unterliegenden Partei auferlegt werden. Hat keine Partei vollständig obsiegt, so werden die Prozesskosten nach dem Ausgang des Verfahrens verteilt ( Art. 106 Abs. 2 ZPO ). Diese Regelung räumt dem Gericht bei der Kostenverteilung ein weites Ermessen ein. Art. 106 Abs. 2 ZPO spricht generell vom "Ausgang des Verfahrens". Danach kann der Richter bei der Kostenverteilung insbesondere auch das Gewicht der einzelnen Rechtsbegehren innerhalb eines Rechtsstreits berücksichtigen (Urteile 5D_108/2020 vom 28. Januar 2021 E. 3.1; 5A_80/2020 vom 19. August 2020 E. 4.3; 4A_54/2018 vom 11. Juni 2018 E. 5.1),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(zit. Urteil 5A_80/2020 E. 4.3; Urteil 4A_207/2015 vom 2. September 2015 E. 3.1 mit Hinweisen; zum Ganzen Urteil 4A_171/2021 vom 27. April 2021 E. 5.2).</w:t>
      </w:r>
    </w:p>
    <w:p>
      <w:r>
        <w:t>Ermessensentscheide, zu denen der Entscheid über die Kostenverlegung nach Art. 106 Abs. 1 und 2 ZPO zählt (zit. Urteile 4A_171/2021 E. 5.2; 5A_80/2020 E. 4.3; 4A_54/2018 E. 5.1), prüft das Bundesgericht im Rahmen der Beschwerde in Zivilsachen bloss mit Zurückhaltung (vgl. BGE 141 III 97 E. 11.2; 138 III 443 E. 2.1.3., 669 E. 3.1; je mit Hinweisen).</w:t>
      </w:r>
    </w:p>
    <w:p>
      <w:r>
        <w:rPr>
          <w:b/>
        </w:rPr>
        <w:t>E. 3.4</w:t>
      </w:r>
    </w:p>
    <w:p>
      <w:r>
        <w:t>Der Beschwerdeführer stellte erstinstanzlich fünf Rechtsbegehren. Während die Rechtsbegehren Ziff. 1 und 2 teilweise gutgeheissen wurden, trat die Erstinstanz auf die Rechtsbegehren Ziff. 3-5 nicht ein. Der Beschwerdeführer focht den Nichteintretensentscheid betreffend die Rechtsbegehren Ziff. 3 und 5 nicht an; die Berufung gegen den Nichteintretensentscheid betreffend das Rechtsbegehren Ziff. 4 bestätigte die Vorinstanz, weshalb der Beschwerdeführer mit seinen Rechtsbegehren Ziff. 3-5 als unterliegende Partei gilt (vgl. Art. 106 Abs. 1 Satz 2 ZPO ). Soweit der Beschwerdeführer rügt, die Erstinstanz sei zu Unrecht nicht auf seine Rechtsbegehren Ziff. 3 und 5 eingetreten, verfängt seine Argumentation von vornherein nicht, da er diesen Nichteintretensentscheid nicht vor der Vorinstanz angefochten hat. Da keine der Parteien vollständig obsiegte, sind die Prozesskosten nach Art. 106 Abs. 2 ZPO zu verteilen.</w:t>
      </w:r>
    </w:p>
    <w:p>
      <w:r>
        <w:t>Die Vorinstanz stützte sich bei der Verteilung ausschliesslich auf den Ausgang des Verfahrens betreffend das Rechtsbegehren Ziff. 1, was sie damit begründete, dass die Beurteilung der Rechtsbegehren Ziff. 2-5 lediglich geringen Aufwand verursacht habe. Auch wenn die Vorinstanz den Streitwert der (vermögensrechtlichen; vgl. BGE 142 III 145 E. 6.1) Begehren Ziff. 2-5 nicht festlegte (vgl. Art. 91 Abs. 2 ZPO ), konnte sie deren Gewicht innerhalb des Rechtsstreits abschätzen. Sie hat dieses offenbar - wenn auch nicht weiter begründet - als vernachlässigbar eingeschätzt. Angesichts des geringfügigen diesbezüglichen Begründungsaufwands (Ziff. 1: 26 Seiten, Ziff. 2-5: 3 ¼ Seiten) ist dieses Vorgehen nachvollziehbar und liegt jedenfalls im Rahmen des der Vorinstanz zustehenden Ermessens. Es handelte sich bei den dort zu beurteilenden Fragen offensichtlich um untergeordnete Aspekte.</w:t>
      </w:r>
    </w:p>
    <w:p>
      <w:r>
        <w:t>Entgegen den Vorbringen des Beschwerdeführers hat das Gericht bei der Verteilung der Prozesskosten nicht zwingend in Anwendung von Art. 91 Abs. 2 ZPO einen Streitwert festzusetzen, sofern kein solcher angegeben wurde. Die Zivilprozessordnung schreibt nämlich nicht vor, anhand welcher Kriterien das Gericht das Ausmass des Obsiegens bzw. des Unterliegens der jeweiligen Partei unter der Geltung von Art. 106 Abs. 2 ZPO festzustellen hat. Wie in E. 3.3 hiervor angeführt, steht dem Gericht dabei ein weites Ermessen zu. Der Streitwert kann ein Kriterium sein, Art. 106 Abs. 2 ZPO verlangt indes nicht generell, dass das Gericht diesen zur Verteilung der Prozesskosten heranziehen muss. Verzichtet es auf dessen Berücksichtigung, ist dies nicht zu beanstanden, sofern es die Kostenverteilung anderweitig sachlich zu begründen vermag und damit sein Ermessen nicht überschreitet. Indem die Vorinstanz die Verteilung (nachvollziehbar) mit dem zu vernachlässigenden Aufwand für die Beurteilung der Rechtsbegehren Ziff. 2-5 begründete, erfüllte sie diese Voraussetzung. Hätte sie auch den Rechtsbegehren Ziff. 2-5 einen Wert zugesprochen, wäre überdies nicht zu erwarten, dass der Beschwerdeführer einen kleineren Anteil der Verfahrenskosten als 25 % tragen müsste, da er betreffend die Rechtsbegehren Ziff. 3-5 vollumfänglich unterlegen und betreffend Ziff. 2 lediglich zu einem kleinen Teil obsiegte.</w:t>
      </w:r>
    </w:p>
    <w:p>
      <w:r>
        <w:t>Eine Verletzung der geltend gemachten Bestimmungen ist damit zu verneinen.</w:t>
      </w:r>
    </w:p>
    <w:p>
      <w:r>
        <w:rPr>
          <w:b/>
        </w:rPr>
        <w:t>E. 4</w:t>
      </w:r>
    </w:p>
    <w:p>
      <w:r>
        <w:t>Der Beschwerdeführer verlangt mit den Rechtsbegehren Ziff. 4 und 5, die vorinstanzlichen Kosten neu zu verlegen. Da er diesen Antrag jedoch nicht begründet, ist auf die Beschwerde in diesem Punkt nicht einzutreten (vgl. E. 2.1 hiervor).</w:t>
      </w:r>
    </w:p>
    <w:p>
      <w:r>
        <w:rPr>
          <w:b/>
        </w:rPr>
        <w:t>E. 5</w:t>
      </w:r>
    </w:p>
    <w:p>
      <w:r>
        <w:t>Im Ergebnis ist die Beschwerde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