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4A_265/2018 vom 3. September 2018</w:t>
      </w:r>
    </w:p>
    <w:p>
      <w:r>
        <w:t>Bundesgericht, 2018-09-03, DE</w:t>
      </w:r>
    </w:p>
    <w:p>
      <w:r>
        <w:rPr>
          <w:b/>
        </w:rPr>
        <w:t xml:space="preserve">Quelle: </w:t>
      </w:r>
      <w:r>
        <w:t>https://mcp.opencaselaw.ch/entscheid/bger_4A_265_2018</w:t>
      </w:r>
    </w:p>
    <w:p>
      <w:r>
        <w:t>FR: TF 4A_265/2018 du 3 septembre 2018</w:t>
      </w:r>
    </w:p>
    <w:p>
      <w:r>
        <w:t>IT: TF 4A_265/2018 del 3 settembre 2018</w:t>
      </w:r>
    </w:p>
    <w:p>
      <w:pPr>
        <w:pStyle w:val="Heading2"/>
      </w:pPr>
      <w:r>
        <w:t>Erwägungen</w:t>
      </w:r>
    </w:p>
    <w:p>
      <w:r>
        <w:rPr>
          <w:b/>
        </w:rPr>
        <w:t>E. 1.1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Nach Art. 42 Abs. 2 BGG ist in der Beschwerdeschrift in gedrängter Form darzulegen, inwiefern der angefochtene Akt Recht verletzt. Unerlässlich ist, dass auf die Begründung des angefochtenen Urteils eingegangen und im Einzelnen dargetan wird, worin eine Verletzung von Bundesrecht liegen soll ( BGE 140 III 86 E. 2 S. 89; 115 E. 2 S. 116).</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w:t>
      </w:r>
    </w:p>
    <w:p>
      <w:r>
        <w:t>Wie erwähnt sieht Ziffer 16 Abs. 2 des Projektvertrages vor, dass Änderungen "[...] zu ihrer Gültigkeit der Schriftform und der Unterzeichnung durch beide Vertragsparteien" bedürfen und ausserdem, dass "[...] dieses Schrifterfordernis [...] nur durch schriftliche Vereinbarung aufgehoben werden" kann. Die Beschwerdegegnerin macht geltend, die Vorinstanz habe zu Unrecht angenommen, es sei eine formgültige Vertragsänderung und Vereinbarung einer festen Vertragsdauer bis Ende 2017 zustande gekommen. Bei ihren Zusicherungsschreiben habe es sich nur um Absichtsverlautbarungen gehandelt.</w:t>
      </w:r>
    </w:p>
    <w:p>
      <w:r>
        <w:rPr>
          <w:b/>
        </w:rPr>
        <w:t>E. 2.1</w:t>
      </w:r>
    </w:p>
    <w:p>
      <w:r>
        <w:t>Die Vorinstanz stellte fest, unbestritten habe das Schreiben der Beschwerdegegnerin vom 3. April 2013 die Schriftform erfüllt. Strittig sei jedoch, ob die Beschwerdeführerin dieses Schreiben schriftlich bestätigt bzw. akzeptiert habe. Dies sei zu prüfen, wobei sich die Prüfung auch auf Rechtsfragen beziehe, nämlich ob vorliegend überhaupt ein (schriftliches) Akzept des Schreibens vom 3. April 2013 nötig gewesen sei und ob das Schreiben vom 3. April 2013 nicht gar eine Annahme der von der Klägerin erbetenen Erklärung darstelle.</w:t>
      </w:r>
    </w:p>
    <w:p>
      <w:r>
        <w:t>Dementsprechend erwog die Vorinstanz, es sei unbestritten, dass die Beschwerdegegnerin ihr Zusicherungsschreiben vom 3. April 2013 wie auch ihre beiden vorangehenden Zusicherungsschreiben auf Ersuchen der Beschwerdeführerin ausgestellt habe. Die Beschwerdegegnerin habe sodann ihr Zusicherungsschreiben selber als "einseitig " bezeichnet, weshalb davon auszugehen sei, dass die Beschwerdeführerin der Beschwerdegegnerin einen dem Inhalt der Erklärung vom 3. April 2013 entsprechenden Antrag gestellt habe. Diesen Antrag habe die Beschwerdegegnerin mit der Abgabe der Erklärung vom 3. April 2013 schriftlich angenommen, womit eine formgültige Vereinbarung zustande gekommen sei. Zudem beinhalte das Schreiben vom 3. April 2013 primär eine die Beschwerdeführerin begünstigende Zusicherung. Würde man davon ausgehen, das Schreiben vom 3. April 2013 sei nicht als Annahme des Antrags der Beschwerdeführerin zu qualifizieren, sondern umgekehrt als Antrag der Beschwerdegegnerin zum Abschluss einer Vertragsänderung, so wäre somit ein schriftliches Akzept (durch die Beschwerdeführerin) nicht zwingend nötig gewesen.</w:t>
      </w:r>
    </w:p>
    <w:p>
      <w:r>
        <w:rPr>
          <w:b/>
        </w:rPr>
        <w:t>E. 2.1.1</w:t>
      </w:r>
    </w:p>
    <w:p>
      <w:r>
        <w:t>Formbedürftige Rechtsgeschäfte sind nach denselben Grundsätzen auszulegen wie formfreie, das heisst, es ist nach den gesamten Umständen zu ermitteln, was die Parteien tatsächlich gewollt haben oder - wenn sich dies nicht feststellen lässt - wie ihre Erklärungen nach Treu und Glauben zu verstehen sind ( BGE 127 III 248 E. 3c S. 254, 529 E. 3c S. 532; 122 III 361 E. 4 S. 366). Steht der nach den allgemeinen Auslegungsmethoden ermittelte Vertragsinhalt fest, ist bei formbedürftigen Verträgen in einem weiteren Schritt zu beurteilen, ob der Inhalt in der gesetzlich vorgeschriebenen Form hinreichend zum Ausdruck gebracht worden ist ( BGE 122 III 361 E. 4 S. 366; 121 III 118 E. 4 b/bb S. 124; vgl. zum Ganzen auch Urteile 4A_530/2016 vom 20. Januar 2017 E. 7; 4A_24/2008 vom 12. Juni 2008 E. 3.1). Dies gilt auch im Falle eines vertraglich vereinbarten Formvorbehalts.</w:t>
      </w:r>
    </w:p>
    <w:p>
      <w:r>
        <w:rPr>
          <w:b/>
        </w:rPr>
        <w:t>E. 2.1.2</w:t>
      </w:r>
    </w:p>
    <w:p>
      <w:r>
        <w:t>Ein Vertrag, für den die schriftliche Form gesetzlich vorgeschrieben ist, muss von allen Parteien unterzeichnet werden, die durch ihn verpflichtet werden sollen ( Art. 13 Abs. 1 OR ). Vertragspartner, die durch den Vertrag ausschliesslich Rechte erhalten, sind zu keiner Unterschrift verpflichtet. Vorliegend kann offenbleiben, ob die Parteien mit Ziffer 16 Abs. 2 des Projektvertrages, darüber hinausgehend vereinbart haben, dass selbst diejenige Partei zur Unterschrift verpflichtet ist, welche durch den Vertrag ausschlliesslich Rechte erhält. Denn die Beschwerdeführerin selbst macht in ihrer Beschwerde geltend, mit dem Schreiben der Beschwerdegegnerin vom 3. April 2013 sei der Projektvertrag fest bis Ende 2017 verlängert worden und ein ordentliches Kündigungsrecht bestünde während dieser Zeit für beide Parteien nicht. Der Projektvertrag ist ein gewöhnlicher zweiseitiger Vertrag, der für beide Parteien sowohl Rechte wie Pflichten enthielt. Auch wenn die Verlängerung der Vertragsdauer bis Ende 2017 vor allem im Interesse der Beschwerdeführerin gelegen haben mag, so kann doch keineswegs gesagt werden, dass sie damit nur Rechte im Sinn dieser Bestimmung erworben hätte. Unter diesen Umständen erfasst das Schriftformerfordernis Antrag und Annahme gleichermassen (CHRISTOPH MÜLLER, Berner Kommentar, 2018, N. 39 und 121 zu Art. 3 OR ).</w:t>
      </w:r>
    </w:p>
    <w:p>
      <w:r>
        <w:rPr>
          <w:b/>
        </w:rPr>
        <w:t>E. 2.1.3</w:t>
      </w:r>
    </w:p>
    <w:p>
      <w:r>
        <w:t>Die Vorinstanz hat keine Feststellungen dazu getroffen, in welcher Form die Beschwerdeführerin um Abgabe der Zusicherungserklärung ersucht hat. Ein entsprechendes Aktenstück lag nicht vor; jedenfalls bezieht sich die Vorinstanz auf keines. Vielmehr ergibt sich umgekehrt daraus, dass sie aus der Erklärung vom 3. April 2013 Rückschlüsse auf den (möglichen) Inhalt des Antrags zieht, dass kein schriftlicher Antrag vorlag. Dass ein solcher von der Beschwerdeführerin behauptet worden wäre, ist ebenfalls nicht ersichtlich. Vielmehr hält die Vorinstanz selber wie erwähnt (vorne E. 2.1 am Anfang) fest, umstritten sei, ob das Schreiben vom 3. April 2013</w:t>
      </w:r>
    </w:p>
    <w:p>
      <w:r>
        <w:t>schriftlich bestätigt bzw. akzeptiert worden sei. Dass sie anschliessend trotzdem prüfte, ob dieses Schreiben "nicht gar eine Annahme der von der Klägerin erbetenen Erklärung darstellt", begründete sie damit, dies sei die Prüfung einer Rechtsfrage. Damit übersah sie, dass auch die Prüfung einer Rechtsfrage entsprechende Behauptungen der Parteien zum Tatsächlichen voraussetzt. Die Beschwerdeführerin, welche mit der Vorinstanz die Formgültigkeit der Vertragsänderung behauptet, hat keine (rechtsgenügliche) Rüge einer ungenügenden Sachverhaltsfeststellung (vgl. E. 1.2) erhoben. Mithin ist mangels entsprechender Behauptung nicht davon auszugehen, dass das von der Beschwerdegegnerin nicht bestrittene Ersuchen der Beschwerdeführerin um Abgabe der Erklärung vom 3. April 2013 seinerseits schriftlich erfolgte. Damit wurde mit Schreiben der Beschwerdegegnerin vom 3. April 2013, entgegen der Auffassung der Vorinstanz, der Vertrag nicht formgültig verlängert.</w:t>
      </w:r>
    </w:p>
    <w:p>
      <w:r>
        <w:rPr>
          <w:b/>
        </w:rPr>
        <w:t>E. 2.2</w:t>
      </w:r>
    </w:p>
    <w:p>
      <w:r>
        <w:t>In einer Eventualbegründung prüfte die Vorinstanz, ob das Schriftformerfordernis erfüllt sei, wenn man - entgegen der Hauptbegründung - davon ausginge, dass die Beschwerdeführerin die Erklärung der Beschwerdegegnerin vom 3. April 2013 hätte schriftlich bestätigen müssen, dass diese Erklärung also ein Angebot an die Beschwerdeführerin beinhaltet hätte.</w:t>
      </w:r>
    </w:p>
    <w:p>
      <w:r>
        <w:rPr>
          <w:b/>
        </w:rPr>
        <w:t>E. 2.2.1</w:t>
      </w:r>
    </w:p>
    <w:p>
      <w:r>
        <w:t>Die Vorinstanz erwog, jedenfalls wären an eine solche Zustimmung keine hohen Anforderungen zu stellen. Die Beschwerdeführerin erbringe mit dem von ihr rechtsgültig unterzeichneten Protokoll der Generalversammlung vom 10. Juli 2014 den Nachweis, dass sie damit den von ihr in der Jahresrechnung 2013 vom 10. Januar 2014 angebrachten Vermerk "Aufgrund der Zusammenarbeitszusage des wichtigsten Kunden, welche bis mindestens Ende 2017 läuft, besteht entsprechende Planungssicherheit" ausdrücklich genehmigt bzw. akzeptiert habe. Dieser Vermerk nehme zumindest inhaltlich klar Bezug auf das Schreiben der Beschwerdegegnerin vom 3. April 2013, auch wenn dieses Schreiben nicht explizit erwähnt werde. Nicht entscheidend sei, dass das Akzept durch die Beschwerdeführerin erst rund ein halbes bzw. ein Jahr nach erfolgter Zusicherung der Zusammenarbeit erfolgt sei, da ein sofortiges und/oder ausdrückliches Akzept bei der gegebenen Sachlage nicht nahe gelegen habe. Ebenfalls nicht ausschlaggebend sei, dass das Akzept nicht ausdrücklich an die Beschwerdegegnerin gerichtet gewesen sei, "nachdem die Beklagte anlässlich der Generalversammlung vom 10. Juli 2014 in der Person von D.________, damaliger Verwaltungsratsdelegierter und CEO der Beklagten und Mitunterzeichner des Schreibens vom 3. April 2013 präsent" gewesen sei und die Erklärung der Beschwerdeführerin zustimmend zur Kenntnis genommen habe. Deshalb sei mit der Beschwerdeführerin und entgegen dem Bezirksgericht davon auszugehen, dass die Beschwerdeführerin an der Generalversammlung vom 10. Juli 2014 das Schreiben der Beschwerdegegnerin vom 3. April 2013 schriftlich bestätigt bzw. schriftlich akzeptiert habe.</w:t>
      </w:r>
    </w:p>
    <w:p>
      <w:r>
        <w:t>Eine weitere schriftliche Bestätigung erkennt die Vorinstanz darin, dass im mit der X.________ Group abgeschlossenen und von der Beschwerdeführerin am 20. September 2013 unterzeichneten Mandatsvertrag für Käufersuche unter "1. Ausgangslage " unter anderem festgehalten wurde: "Der Schlüsselkunde B.________ Group bestätigte kürzlich die Aufrechterhaltung der bestehenden Beziehung mindestens im vorliegenden Umfang bis Ende 2017". Dieser Vertrag sei auch von der Beschwerdegegnerin unterzeichnet worden. Diese habe damit das Akzept der Beschwerdeführerin zustimmend zur Kenntnis genommen. Nachdem - wie erwähnt - hier an ein schriftliches Akzept keine hohen Anforderungen zu stellen seien, sei davon auszugehen, dass die Beschwerdeführerin auch im Mandatsvertrag das Zusicherungsschreiben der Beschwerdegegnerin vom 3. April 2013 schriftlich bestätigt bzw. akzeptiert habe.</w:t>
      </w:r>
    </w:p>
    <w:p>
      <w:r>
        <w:rPr>
          <w:b/>
        </w:rPr>
        <w:t>E. 2.2.2</w:t>
      </w:r>
    </w:p>
    <w:p>
      <w:r>
        <w:t>Die Vorinstanz verwies einleitend auf die Erwägungen des Bezirksgerichts zur Bedeutung von Ziffer 16 Abs. 2 des Projektvertrages. Danach sei der dort enthaltende Formvorbehalt als Gültigkeitserfordernis zu verstehen. Diese Erwägungen seien von keiner Partei bestritten worden. Das Schrifterfordernis für Abänderungen des Projektvertrags sei somit Gültigkeitserfordernis. Entsprechend prüfte sie, wie dargelegt, ob ein schriftliches Akzept bestehe. Mit anderen Worten ging sie nicht davon aus, der Formvorbehalt hätte formfrei (konkludent) aufgehoben werden können bzw. sei formfrei aufgehoben worden, welche Frage das Bezirksgericht geprüft und verneint hatte.</w:t>
      </w:r>
    </w:p>
    <w:p>
      <w:r>
        <w:t>Die Beschwerdeführerin erwähnt zwar beiläufig einmal, die monatlichen Zahlungen über Fr. 430'000.-- nach dem 3. April 2013 seien eine " (konkludente) Akzepthandlung" gewesen. Eine Auseinandersetzung mit dem Standpunkt der Vorinstanz beinhaltet dies aber nicht; eine rechtsgenügliche Rüge (vgl. E. 1.1 hiervor) liegt damit nicht vor. Mit der Vorinstanz ist somit davon auszugehen, dass die Vereinbarung einer festen Vertragsdauer bis Ende 2017 schriftlich zu erfolgen hatte.</w:t>
      </w:r>
    </w:p>
    <w:p>
      <w:r>
        <w:t>Die Vorinstanz hat wiederholt ausgeführt, es dürften hier "keine hohen Anforderungen" an ein schriftliches Akzept (der schriftlichen Offerte) gestellt werden. Es ist unklar, was sie damit meint. Hätte sie damit trotzdem eine Art konkludente Aufhebung des Schrifterfordernisses annehmen wollen, stünde das im Widerspruch zu ihren grundsätzlichen Ausführungen. Die Schriftform ist entweder eingehalten oder nicht; eine abgemilderte Form gibt es nicht.</w:t>
      </w:r>
    </w:p>
    <w:p>
      <w:r>
        <w:rPr>
          <w:b/>
        </w:rPr>
        <w:t>E. 2.2.3</w:t>
      </w:r>
    </w:p>
    <w:p>
      <w:r>
        <w:t>Ein Vertrag - und damit auch die Änderung eines Vertrages - kommt durch übereinstimmende</w:t>
      </w:r>
    </w:p>
    <w:p>
      <w:r>
        <w:t>gegenseitige Willensäusserung zustande ( Art. 1 OR ). Ist der Vertrag formbedürftig, müssen auch die schriftlichen Erklärungen gegenseitig sein. Gegenseitigkeit bedeutet, dass die Vertragsannahme als Antwort auf die (an den Annehmenden adressierte) Offerte wiederum an den Offerenten gegenüber erklärt wird. Die Erklärungen müssen aufeinander bezogen sein (CHRISTOPH MÜLLER, a.a.O., N. 255 zu Art. 1 OR mit Hinweis auf BGE 40 II 246 E. 3 S. 248; GAUCH/SCHLUEP UND ANDERE, Schweizerisches Obligationenrecht Allgemeiner Teil, Bd. I, 10. Aufl. 2014, S. 73 und 86, Rz. 357 und 437; ARIANE MORIN, in: Commentaire Romand, Code des obligations I, 2. Aufl. 2012, N. 92 zu Art. 1 OR ).</w:t>
      </w:r>
    </w:p>
    <w:p>
      <w:r>
        <w:t>Daran fehlt es hier, wie das Bezirksgericht richtig erkannt hat. Die aus Sicht der Vorinstanz massgebliche Passage im Anhang zur Jahresrechnung 2013 der Beschwerdeführerin ("Aufgrund der Zusammenarbeitszusage des wichtigsten Kunden, welche bis mindestens Ende 2017 läuft, besteht entsprechende Planungssicherheit") steht unter dem Titel "Verpflichtungen aus Devisen-Termingeschäften " als einleitende Erklärung zu den getätigten bzw. noch geplanten Devisen (Rubel-) Termingeschäften. Ein Akzept kann darin allein schon deswegen nicht gesehen werden, weil dieser Satz nicht an die Beschwerdegegnerin gerichtet war, sondern an die Aktionäre der Beschwerdeführerin. Entgegen der Vorinstanz trifft auch nicht zu, dass die Beschwerdegegnerin an der Generalversammlung vom 10. Juli 2014 "präsent" war. Anwesend war die damalige Aktionärin B.________ Holding AG, vertreten durch D.________. Der Präsident des Verwaltungsrats der Beschwerdeführerin hat das Protokoll der Generalversammlung zwar unterzeichnet. Dieses Protokoll ist ein Beschlussprotokoll, welches die Anträge und Ergebnisse (Stimmenverhältnis und Feststellung des Ergebnisses durch den Vorsitzenden) der Abstimmungen und Wahlen gemäss Art. 702 Abs. 2 OR wiedergibt (Urteil 4A_404/2011 vom 7. November 2011 E. 4.2; DIETER DUBS/ROLAND TRUFFER, in: Basler Kommentar Obligationenrecht II, 5. Aufl. 2016, N. 26 zu Art. 702 OR ; HENRY PETER/FRANCESCA CAVADINI, in: Commentaire Romand, Code des obligations II, 2. Aufl. 2017, N. 27a zu Art. 702 OR ). Als solches hat es nichts zu tun mit einem Vertrag bzw. entsprechenden Willensäusserungen, die der Richter entsprechend den Umständen auszulegen hätte (zit. Urteil 4A_404/2011 E. 4.2). Ob das GV-Protokoll überhaupt unterzeichnet werden muss, ist in der Lehre strittig (dagegen: DUBS/TRUFFER, a.a.O., N. 27 zu Art. 702 OR ; PETER/CAVADINI, a.a.O., N. 31 zu Art. 702 OR ; dafür: PETER BÖCKLI, Schweizer Aktienrecht, 4. Aufl. 2009, S. 1413, § 12 Rz. 194 mit Hinweisen; BRIGITTE TANNER, in: Zürcher Kommentar, 3. Aufl. 2018, N. 219 zu Art. 702 OR ). Jedenfalls kann aus einer Unterzeichnung durch den Verwaltungsratspräsidenten keine - noch zu interpretierende - Willensäusserung an die Adresse einer nicht anwesenden juristischen Person (der Beschwerdegegnerin) abgeleitet werden. Damit kann auch offenbleiben, ob das Schreiben der Beschwerdegegnerin vom 3. April 2013 überhaupt als entsprechende Offerte an die Adresse der Beschwerdeführerin verstanden werden kann, was die Beschwerdegegnerin bestreitet.</w:t>
      </w:r>
    </w:p>
    <w:p>
      <w:r>
        <w:t>Offenbleiben kann dies auch hinsichtlich der alternativen Begründung der Vorinstanz, wonach sich ein schriftliches Akzept aus der Unterzeichnung des Mandatsvertrags mit der X.________ Group ergeben soll. Die Erklärungen in diesem Vertrag waren an die Adresse der beauftragten X.________ Group gerichtet. Die von der Vorinstanz zitierte Formulierung unter "1. Ausgangslage"enthält auch nicht eine Willenserklärung, sondern gibt eine Tatsache wieder, nämlich dass seitens der Beschwerdegegnerin eine Erklärung zur Aufrechterhaltung der Zusammenarbeit bis Ende 2017 abgegeben wurde. Eine "Gegenseitigkeit" lässt sich entgegen der Vorinstanz im Übrigen auch nicht mit dem Hinweis begründen, der Vertrag sei auch von der Beschwerdegegnerin unterzeichnet worden, womit diese das Akzept der Beschwerdeführerin zustimmend zur Kenntnis genommen habe. Denn es trifft nicht zu, dass dieser Vertrag von der Beschwerdegegnerin unterzeichnet wurde. Unterzeichnet wurde er von der B.________ Holding AG. Die Vorinstanz verwechselt erneut bzw. unterscheidet nicht zwischen den zwei juristischen Personen B.________ Holding AG und B.________ AG (Beschwerdegegnerin).</w:t>
      </w:r>
    </w:p>
    <w:p>
      <w:r>
        <w:rPr>
          <w:b/>
        </w:rPr>
        <w:t>E. 2.2.4</w:t>
      </w:r>
    </w:p>
    <w:p>
      <w:r>
        <w:t>Eine Vertragsänderung wurde somit nicht formgültig vereinbart. Damit blieb es bei der Kündigungsmöglichkeit gemäss Ziffer 13 des Projektvertrages. Dass die Beschwerdegegnerin diese Frist nicht eingehalten hätte, wird nicht geltend gemacht. Ob der Vertrag als Innominatkontrakt mit überwiegenden Auftragselementen zu qualifizieren ist und ob diesfalls zwingend ein jederzeitiges Widerrufsrecht gemäss Art. 404 Abs. 1 OR bestand, was die Beschwerdeführerin beides bestreitet, muss nicht geprüft werden.</w:t>
      </w:r>
    </w:p>
    <w:p>
      <w:r>
        <w:rPr>
          <w:b/>
        </w:rPr>
        <w:t>E. 3</w:t>
      </w:r>
    </w:p>
    <w:p>
      <w:r>
        <w:t>Nach dem Gesagten ist die Beschwerde abzuweisen, soweit darauf einzutreten ist. Die Beschwerdeführerin wird damit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