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4A_265/2011 vom 8. Juli 2011</w:t>
      </w:r>
    </w:p>
    <w:p>
      <w:r>
        <w:t>Bundesgericht, 2011-07-08, FR</w:t>
      </w:r>
    </w:p>
    <w:p>
      <w:r>
        <w:rPr>
          <w:b/>
        </w:rPr>
        <w:t xml:space="preserve">Quelle: </w:t>
      </w:r>
      <w:r>
        <w:t>https://mcp.opencaselaw.ch/entscheid/bger_4A_265_2011</w:t>
      </w:r>
    </w:p>
    <w:p>
      <w:r>
        <w:t>FR: TF 4A_265/2011 du 8 juillet 2011</w:t>
      </w:r>
    </w:p>
    <w:p>
      <w:r>
        <w:t>IT: TF 4A_265/2011 del 8 luglio 2011</w:t>
      </w:r>
    </w:p>
    <w:p>
      <w:pPr>
        <w:pStyle w:val="Heading2"/>
      </w:pPr>
      <w:r>
        <w:t>Erwägungen</w:t>
      </w:r>
    </w:p>
    <w:p>
      <w:r>
        <w:rPr>
          <w:b/>
        </w:rPr>
        <w:t>E. 1.1</w:t>
      </w:r>
    </w:p>
    <w:p>
      <w:r>
        <w:t>Interjeté par les deux locataires ayant succombé devant la Chambre d'appel ( art. 76 al. 1 LTF ) et dirigé contre une décision finale ( art. 90 LTF ) rendue en matière civile ( art. 72 al. 1 LTF ) par une autorité cantonale de dernière instance ( art. 75 al. 1 LTF ) dans une affaire dont la valeur litigieuse atteint le seuil fixé à l' art. 74 al. 1 let. a LTF , le présent recours en matière civile, qui a été déposé dans le délai ( art. 100 al. 1 LTF en liaison avec l' art. 46 al. 1 let. a LTF ) et la forme ( art. 42 LTF ) prévus par la loi, est recevable sous ces différents angles.</w:t>
      </w:r>
    </w:p>
    <w:p>
      <w:r>
        <w:rPr>
          <w:b/>
        </w:rPr>
        <w:t>E. 1.2</w:t>
      </w:r>
    </w:p>
    <w:p>
      <w:r>
        <w:t>Le recours en matière civile peut être formé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p. 400; 134 III 102 consid. 1.1 p. 104). Compte tenu de l'exigence de motivation figurant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p. 400 s.).</w:t>
      </w:r>
    </w:p>
    <w:p>
      <w:r>
        <w:rPr>
          <w:b/>
        </w:rPr>
        <w:t>E. 1.3</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135 III 127 consid. 1.5 p. 130, 397 consid. 1.5 p. 401)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ce défaut, il n'est pas possible de tenir compte d'un état de fait qui diverge de celui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Les recourants ne se plaignent pas de la manière dont l'autorité précédente a appliqué les dispositions spécifiques de la législation fédérale touchant les défauts de la chose louée, en particulier l' art. 259d CO qui fixe les conditions d'une réduction du loyer de ce chef. Ils ne démontrent nullement en quoi cette autorité aurait méconnu les principes jurisprudentiels régissant la question litigieuse. Dès lors, il n'y a pas lieu de traiter cette question.</w:t>
      </w:r>
    </w:p>
    <w:p>
      <w:r>
        <w:rPr>
          <w:b/>
        </w:rPr>
        <w:t>E. 3.1</w:t>
      </w:r>
    </w:p>
    <w:p>
      <w:r>
        <w:t>Le seul reproche que les recourants adressent à la cour cantonale est d'avoir violé le principe de l'égalité de traitement, consacré par l' art. 8 al. 1 Cst. , en ne leur accordant qu'une réduction de loyer sensiblement inférieure à celle qu'elle a consentie à deux autres locataires du même immeuble dans les causes ... et ..., "pourtant exactement similaires", qui ont été jugées par elle, les 17 janvier et 14 février 2011, dans deux arrêts en force annexés au mémoire de recours (pces nos 2 et 3).</w:t>
      </w:r>
    </w:p>
    <w:p>
      <w:r>
        <w:rPr>
          <w:b/>
        </w:rPr>
        <w:t>E. 3.2</w:t>
      </w:r>
    </w:p>
    <w:p>
      <w:r>
        <w:t>Le grief examiné tombe à faux pour plusieurs raisons.</w:t>
      </w:r>
    </w:p>
    <w:p>
      <w:r>
        <w:rPr>
          <w:b/>
        </w:rPr>
        <w:t>E. 3.2.1</w:t>
      </w:r>
    </w:p>
    <w:p>
      <w:r>
        <w:t>L'application - sinon immédiate, du moins indirecte - des règles constitutionnelles aux relations entre les particuliers n'est certes pas exclue, s'agissant notamment de l'interprétation des clauses générales et des notions juridiques indéterminées du droit privé ( ATF 111 II 245 consid. 4b avec de nombreuses références). Cependant, la reconnais- sance de cet effet "horizontal" des droits fondamentaux (Dritt- und Horizontalwirkung) n'empêche pas que les rapports entre les particuliers relèvent directement des seules lois civiles et pénales. C'est donc par elles que l'individu est protégé contre les atteintes que d'autres sujets de droit privé pourraient porter à ses droits constitutionnels ( ATF 111 II 330 consid. 5; 107 Ia 277 consid. 3a et les références; arrêt 4P.187/1999 du 2 septembre 1999 consid. 2).</w:t>
      </w:r>
    </w:p>
    <w:p>
      <w:r>
        <w:t>Ainsi, les recourants, qui sont opposés, dans un procès civil, à une personne morale de droit privé, ne sauraient alléguer que la décision attaquée viole directement la garantie constitutionnelle de l'égalité de traitement (cf. arrêt 5A_26/2009 du 15 septembre 2009 consid. 5.5 et les arrêts cités). Ils peuvent tout au plus se plaindre de ce que les règles juridiques applicables pour résoudre le problème litigieux ont été méconnues par l'autorité de jugement. Or, ils ne le font pas (cf. consid. 2 ci-dessus). Il paraît évident, pourtant, que l'inégalité de traitement qu'ils dénoncent peut difficilement trouver sa source ailleurs que dans une application incorrecte de l' art. 259d CO , à supposer que les deux précédents invoqués par eux aient été rendus en conformité avec cette disposition. Au demeurant, si cette supposition ne correspondait pas à la réalité, les recourants ne pourraient pas se prévaloir de ces deux précédents pour conclure à la réforme d'un arrêt par hypothèse respectueux du droit fédéral (absence de droit à l'égalité dans l'illégalité).</w:t>
      </w:r>
    </w:p>
    <w:p>
      <w:r>
        <w:rPr>
          <w:b/>
        </w:rPr>
        <w:t>E. 3.2.2</w:t>
      </w:r>
    </w:p>
    <w:p>
      <w:r>
        <w:t>Force est ensuite de constater que les deux arrêts censés étayer l'argumentation des recourants ne figurent pas dans le dossier cantonal. Produits pour la première fois devant le Tribunal fédéral, ils constituent des preuves nouvelles, irrecevables comme telles en vertu de l' art. 99 al. 1 LTF .</w:t>
      </w:r>
    </w:p>
    <w:p>
      <w:r>
        <w:t>Il est vrai que, par exception à la règle générale, le Tribunal fédéral admet la production d'expertises juridiques ou de précédents visant uniquement à renforcer et à développer le point de vue du recourant, pour autant que ces pièces soient déposées dans le délai de recours (arrêt 4A_190/2007 du 10 octobre 2007 consid. 5.1 et les références). En l'espèce, toutefois, les deux précédents invoqués sont d'une autre nature, puisque les recourants y renvoient afin de démontrer que la présente affaire est quasi identique aux deux causes déjà jugées. Il s'agit bel et bien de moyens de preuve.</w:t>
      </w:r>
    </w:p>
    <w:p>
      <w:r>
        <w:t>Les recourants reprochent à la cour cantonale de n'avoir même pas signalé l'existence de ces deux décisions antérieures dans l'arrêt attaqué. Ce faisant, ils ne formulent pas un grief recevable, étant précisé que ce grief ne saurait être rattaché au seul moyen invoqué par eux, à savoir la violation de l' art. 8 al. 1 Cst. Qui plus est, ils ne soutiennent pas que leur mandataire, à qui les deux arrêts en question ont été notifiés en janvier et février 2011 en sa qualité d'avocat des deux locataires parties à chacune de ces procédures, aurait été empêché, pour des motifs de fait ou de droit, de les produire en temps utile dans la procédure les concernant. Enfin, contrairement à ce que les recourants semblent vouloir soutenir, le fait que les parties aient accepté qu'il soit tenu compte, pour statuer sur la demande de réduction du loyer, de certains moyens de preuve, tel le témoignage de l'architecte, recueillis dans les procédures closes par les deux arrêts portés à la connaissance du Tribunal fédéral n'implique pas encore que la Chambre d'appel aurait dû prendre d'office en considération ces deux précédents pour se prononcer sur cette demande.</w:t>
      </w:r>
    </w:p>
    <w:p>
      <w:r>
        <w:rPr>
          <w:b/>
        </w:rPr>
        <w:t>E. 3.2.3</w:t>
      </w:r>
    </w:p>
    <w:p>
      <w:r>
        <w:t>En tout état de cause, même si la production des deux pièces litigieuses avait été jugée admissible, force serait alors de constater que la motivation du recours, en tant qu'elle prend appui sur ces éléments de preuve, ne satisfait pas aux exigences découlant de l' art. 42 al. 1 LTF . Les recourants se contentent, en effet, de renvoyer le Tribunal fédéral à la lecture des arrêts rendus les 17 janvier et 14 février 2011, dont chacun couvre plus de 20 pages, sans lui fournir de plus amples précisions quant aux circonstances de fait les caractérisant, de manière à lui permettre de procéder à la comparaison indispensable entre la présente affaire et celles ayant abouti à ces deux précédents. En d'autres termes, ils argumentent comme s'ils agissaient devant une cour d'appel, méconnaissant ainsi la nature spécifique du recours en matière civile au Tribunal fédéral.</w:t>
      </w:r>
    </w:p>
    <w:p>
      <w:r>
        <w:rPr>
          <w:b/>
        </w:rPr>
        <w:t>E. 4</w:t>
      </w:r>
    </w:p>
    <w:p>
      <w:r>
        <w:t>Il suit de là que le recours interjeté par les locataires est irrecevable; ses auteurs seront donc condamnés solidairement à payer les frais de la procédure fédérale ( art. 66 al. 1 et 5 LTF ) et à indemniser leur adverse partie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