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264/2021 vom 11. November 2021</w:t>
      </w:r>
    </w:p>
    <w:p>
      <w:r>
        <w:t>Bundesgericht, 2021-11-11, FR</w:t>
      </w:r>
    </w:p>
    <w:p>
      <w:r>
        <w:rPr>
          <w:b/>
        </w:rPr>
        <w:t xml:space="preserve">Quelle: </w:t>
      </w:r>
      <w:r>
        <w:t>https://mcp.opencaselaw.ch/entscheid/bger_4A_264_2021</w:t>
      </w:r>
    </w:p>
    <w:p>
      <w:r>
        <w:t>FR: TF 4A 264/2021 du 11 novembre 2021</w:t>
      </w:r>
    </w:p>
    <w:p>
      <w:r>
        <w:t>IT: TF 4A 264/2021 del 11 novembre 2021</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En l'occurrence, celle-ci a été rendue en français. Dans le mémoire qu'elle a adressé au Tribunal fédéral, la recourante a en outre employé le français.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de l'arbitrage se trouve à Genève. Aucune des parties n'avait son siège en Suisse au moment déterminant. Les dispositions du chapitre 12 de la LDIP sont dès lors applicables ( art. 176 al. 1 LDIP ).</w:t>
      </w:r>
    </w:p>
    <w:p>
      <w:r>
        <w:rPr>
          <w:b/>
        </w:rPr>
        <w:t>E. 3</w:t>
      </w:r>
    </w:p>
    <w:p>
      <w:r>
        <w:t>Qu'il s'agisse de l'objet du recours, de la qualité pour recourir, du délai de recours, des conclusions prises par la recourante ou encore des moyens soulevés par elle dans son mémoire de recours, aucune de ces conditions de recevabilité ne fait problème en l'espèce. Rien ne s'oppose donc à l'entrée en matière. Demeure réservé l'examen, sous l'angle de leur motivation, des griefs invoqués par la recourante.</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4A_50/2017 du 11 juillet 2017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du 2 mai 2018 consid. 2.2).</w:t>
      </w:r>
    </w:p>
    <w:p>
      <w:r>
        <w:rPr>
          <w:b/>
        </w:rPr>
        <w:t>E. 4.3</w:t>
      </w:r>
    </w:p>
    <w:p>
      <w:r>
        <w:t>Il sied d'emblée de relever que la recourante a jugé utile de présenter, sur près de treize pages, une narration de son propre cru des circonstances factuelles de la cause en litige. Il ne sera pas tenu compte de cet exposé dans la mesure où il s'écarte des faits constatés dans la sentence attaquée. L'intéressée n'invoque, du reste, aucune des exceptions sus-indiquées qui lui permettraient de s'en prendre aux constatations du Tribunal arbitral. Dès lors, la Cour de céans examinera le bien-fondé des griefs soulevés par la recourante à la lumière de ces constatations-là, et d'elles seules.</w:t>
      </w:r>
    </w:p>
    <w:p>
      <w:r>
        <w:rPr>
          <w:b/>
        </w:rPr>
        <w:t>E. 5</w:t>
      </w:r>
    </w:p>
    <w:p>
      <w:r>
        <w:t>Dans un premier moyen, divisé en deux branches, la recourante se plaint d'une violation de son droit d'être entendue ( art. 190 al. 2 let . d LDIP).</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w:t>
      </w:r>
    </w:p>
    <w:p>
      <w:r>
        <w:t>Dans la sentence attaquée, l'arbitre estime que la résiliation du CID opérée par l'intimée est inefficace. Celle-ci avait dès lors l'obligation de livrer les véhicules commandés par la recourante et ce depuis le 27 mars 2018, date à laquelle les conditions fixées à la reprise des livraisons étaient remplies. L'arbitre se penche dans la foulée sur la question de savoir si la recourante est en droit d'obtenir l'indemnisation d'un éventuel gain manqué pour toutes les ventes qu'elle prétend avoir pu réaliser en 2018 et 2019 alors même qu'elle n'a commandé aucun véhicule à l'intimée au cours de ces deux années. Il y répond par la négative. Selon lui, les circonstances invoquées par la recourante ne la dispensaient pas de faire part à l'intimée de son intention de lui commander d'autres véhicules en 2018 et 2019, notamment après l'échec des négociations en vue de la conclusion d'un nouveau CID en octobre 2018. En d'autres termes, la recourante ne pouvait pas se contenter d'adopter une attitude purement passive et de réclamer le paiement de dommages-intérêts alors même qu'elle n'avait jamais tenté de commander des véhicules à l'intimée.</w:t>
      </w:r>
    </w:p>
    <w:p>
      <w:r>
        <w:rPr>
          <w:b/>
        </w:rPr>
        <w:t>E. 5.3.1</w:t>
      </w:r>
    </w:p>
    <w:p>
      <w:r>
        <w:t>Dans la première branche du moyen considéré, la recourante reproche à l'arbitre de n'avoir pas tenu compte, dans le cadre de son raisonnement juridique, de certains éléments pertinents pourtant reproduits dans le chapitre intitulé " Résumé des faits pertinents " de la sentence entreprise. En substance, elle lui fait grief d'avoir fait abstraction de certaines déclarations de l'intimée au moment d'examiner la question du dédommagement réclamé par la recourante pour les années 2018 et 2019. S'il avait pris en considération le refus anticipé de l'intimée de donner suite à toute nouvelle commande de véhicules émanant de la recourante, l'arbitre n'aurait, selon elle, pas pu tirer argument de l'absence de commande de la part de la recourante pour lui refuser toute indemnisation en lien avec les années 2018 et 2019.</w:t>
      </w:r>
    </w:p>
    <w:p>
      <w:r>
        <w:rPr>
          <w:b/>
        </w:rPr>
        <w:t>E. 5.3.2</w:t>
      </w:r>
    </w:p>
    <w:p>
      <w:r>
        <w:t>Semblable argumentation tombe à faux. Force est de relever d'emblée que la recourante, par sa critique au ton appellatoire marqué, cherche en réalité, sous couvert d'une prétendue violation de son droit d'être entendue, à provoquer un examen de l'application du droit de fond et à remettre en cause l'appréciation des preuves à laquelle s'est livrée l'arbitre. Pareil procédé est inadmissible. Quoi qu'il en soit, il ressort des observations formulées par l'arbitre sur le recours que celui-ci a bel et bien tenu compte des déclarations auxquelles fait allusion la recourante. L'arbitre a cependant considéré que celles-ci n'étaient pas décisives puisqu'elles ne libéraient nullement la recourante de sa propre obligation de commander des véhicules conformément aux dispositions du CID. Contrairement à ce que soutient la recourante de manière difficilement intelligible, on ne saurait en outre reprocher à l'arbitre d'avoir " transformé " un argument de la recourante, comme le démontre de façon convaincante l'arbitre dans ses observations sur le recours. A le supposer recevable, le grief examiné se révèle, dès lors, infondé.</w:t>
      </w:r>
    </w:p>
    <w:p>
      <w:r>
        <w:rPr>
          <w:b/>
        </w:rPr>
        <w:t>E. 5.4.1</w:t>
      </w:r>
    </w:p>
    <w:p>
      <w:r>
        <w:t>Dans la seconde branche du moyen considéré, la recourante prétend que l'arbitre aurait omis de tenir compte de certains moyens de preuve censés établir la volonté manifestée par l'intéressée à l'intimée de lui passer de nouvelles commandes dès 2018.</w:t>
      </w:r>
    </w:p>
    <w:p>
      <w:r>
        <w:rPr>
          <w:b/>
        </w:rPr>
        <w:t>E. 5.4.2</w:t>
      </w:r>
    </w:p>
    <w:p>
      <w:r>
        <w:t>Semblable affirmation ne résiste pas à l'examen. Sans être véritablement contredit par la recourante sur ce point, l'arbitre souligne, dans ses observations sur le recours, que les moyens de preuve auxquels se réfère l'intéressée ne font nullement état de quelconques commandes de véhicules par celle-ci au cours des années 2018 et 2019. Au demeurant, l'arbitre précise qu'il a effectivement tenu compte desdits moyens de preuve mais n'a pas pour autant retenu que la recourante aurait manifesté la moindre intention de passer de nouvelles commandes dès 2018. Le moyen considéré est dès lors voué à l'échec.</w:t>
      </w:r>
    </w:p>
    <w:p>
      <w:r>
        <w:rPr>
          <w:b/>
        </w:rPr>
        <w:t>E. 6</w:t>
      </w:r>
    </w:p>
    <w:p>
      <w:r>
        <w:t>Dans un second moyen, la recourante soutient que la sentence entreprise serait contraire à l'ordre public matériel ( art. 190 al. 2 let . e LDIP), car elle contreviendrait au principe de la bonne foi.</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w:t>
      </w:r>
    </w:p>
    <w:p>
      <w:r>
        <w:rPr>
          <w:b/>
        </w:rPr>
        <w:t>E. 6.2</w:t>
      </w:r>
    </w:p>
    <w:p>
      <w:r>
        <w:t>Pour peu qu'on la comprenne, la recourante semble voir une violation du principe de la bonne foi dans le fait que l'arbitre lui a refusé toute indemnisation pour les années 2018 et 2019 en considérant que l'intéressée ne pouvait pas adopter une attitude purement passive mais aurait au contraire dû commander des véhicules à l'intimée afin de pouvoir prétendre à un éventuel dédommagement. Il sied d'emblée de relever que la motivation du grief laisse fortement à désirer, de sorte que l'on peut sérieusement douter de sa recevabilité. Quoi qu'il en soit, la solution à laquelle a abouti l'arbitre n'apparaît nullement contraire au principe de la bonne foi ni même du reste critiquable. L'arbitre s'est en effet contenté de relever que la recourante adoptait une attitude incompatible avec les règles de la bonne foi si elle réclamait la réparation d'un gain manqué alors même qu'elle n'avait commandé aucun véhicule à l'intimée au cours des années 2018 et 2019. Un tel résultat ne heurte en aucun cas l'ordre public matériel.</w:t>
      </w:r>
    </w:p>
    <w:p>
      <w:r>
        <w:rPr>
          <w:b/>
        </w:rPr>
        <w:t>E. 7</w:t>
      </w:r>
    </w:p>
    <w:p>
      <w:r>
        <w:t>Au vu de ce qui précède, le recours doit être rejeté dans la mesure de sa recevabilité. La recourante, qui succombe, devra payer les frais de la procédure fédérale ( art. 66 al. 1 LTF ) et verser des dépens à l'intimée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