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4A_264/2020 vom 4. Juni 2020</w:t>
      </w:r>
    </w:p>
    <w:p>
      <w:r>
        <w:t>Bundesgericht, 2020-06-04, DE</w:t>
      </w:r>
    </w:p>
    <w:p>
      <w:r>
        <w:rPr>
          <w:b/>
        </w:rPr>
        <w:t xml:space="preserve">Quelle: </w:t>
      </w:r>
      <w:r>
        <w:t>https://mcp.opencaselaw.ch/entscheid/bger_4A_264_2020</w:t>
      </w:r>
    </w:p>
    <w:p>
      <w:r>
        <w:t>FR: TF 4A_264/2020 du 4 juin 2020</w:t>
      </w:r>
    </w:p>
    <w:p>
      <w:r>
        <w:t>IT: TF 4A_264/2020 del 4 giugno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4A_264/2020</w:t>
      </w:r>
    </w:p>
    <w:p>
      <w:r>
        <w:t>Verfügung vom 4. Juni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vertreten durch Rechtsanwältin Stephanie Merkli, Beschwerdegegnerin.</w:t>
      </w:r>
    </w:p>
    <w:p>
      <w:r>
        <w:t>Gegenstand</w:t>
      </w:r>
    </w:p>
    <w:p>
      <w:r>
        <w:t>Mieterausweisung; Rückzug,</w:t>
      </w:r>
    </w:p>
    <w:p>
      <w:r>
        <w:t>Beschwerde gegen das Urteil des Handelsgerichts des Kantons Zürich vom 13. März 2020 (HE200064-O).</w:t>
      </w:r>
    </w:p>
    <w:p>
      <w:r>
        <w:t>In Erwägung,</w:t>
      </w:r>
    </w:p>
    <w:p>
      <w:r>
        <w:t>dass die Beschwerdeführerin mit Schreiben vom 3. Juni 2020 ihre Beschwerde vom 19. Mai 2020 gegen das Urteil des Handelsgerichts des Kantons Zürich vom 13. März 2020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beantragt, es seien keine Gerichtskosten zu erheben;</w:t>
      </w:r>
    </w:p>
    <w:p>
      <w:r>
        <w:t>dass die Beschwerdeführerin kostenpflichtig ist (Art. 66 Abs. 1 und 3BGG) und im vorliegenden Fall keine Umstände vorliegen, die einen Verzicht auf die Erhebung von Gerichtskosten nach Art. 66 Abs. 2 BGG rechtfertigen würden, indessen bei der Bemessung der Gerichtskosten dem relativ geringen Aufwand für das vorliegende Verfahren Rechnung zu tragen ist;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Parteien und dem Handelsgericht des Kantons Zürich schriftlich mitgeteilt.</w:t>
      </w:r>
    </w:p>
    <w:p>
      <w:r>
        <w:t>Lausanne, 4. Juni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