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264/2013 vom 23. September 2013</w:t>
      </w:r>
    </w:p>
    <w:p>
      <w:r>
        <w:t>Bundesgericht, 2013-09-23, DE</w:t>
      </w:r>
    </w:p>
    <w:p>
      <w:r>
        <w:rPr>
          <w:b/>
        </w:rPr>
        <w:t xml:space="preserve">Quelle: </w:t>
      </w:r>
      <w:r>
        <w:t>https://mcp.opencaselaw.ch/entscheid/bger_4A_264_2013</w:t>
      </w:r>
    </w:p>
    <w:p>
      <w:r>
        <w:t>FR: TF 4A 264/2013 du 23 septembre 2013</w:t>
      </w:r>
    </w:p>
    <w:p>
      <w:r>
        <w:t>IT: TF 4A 264/2013 del 23 settembre 2013</w:t>
      </w:r>
    </w:p>
    <w:p>
      <w:pPr>
        <w:pStyle w:val="Heading2"/>
      </w:pPr>
      <w:r>
        <w:t>Regeste</w:t>
      </w:r>
    </w:p>
    <w:p>
      <w:r>
        <w:t>Internationaler Warenkauf | Vertragsrecht</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w:t>
      </w:r>
    </w:p>
    <w:p>
      <w:r>
        <w:rPr>
          <w:b/>
        </w:rPr>
        <w:t>E. 1.1</w:t>
      </w:r>
    </w:p>
    <w:p>
      <w:r>
        <w:t>Da die Beschwerde in Zivilsachen ein reformatorisches Rechtsmittel ist ( Art. 107 Abs. 2 BGG ), darf sich der Beschwerdeführer grundsätzlich nicht darauf beschränken, die Aufhebung des angefochtenen Entscheids zu beantragen, sondern muss einen Antrag in der Sache stellen. Ein Rückweisungsantrag reicht aber ausnahmsweise aus, wenn das Bundesgericht im Falle der Gutheissung in der Sache nicht selbst entscheiden könnte, weil die erforderlichen Sachverhaltsfeststellungen der Vorinstanz fehlen ( BGE 134 III 379 E. 1.3 S. 383; 133 III 489 E. 3.1 mit Hinweisen). Die Beschwerdeführerin stellt in ihrer Beschwerdeschrift ein rein kassatorisches Rechtsbegehren. Es trifft auch zu, dass sie nicht ausdrücklich begründet, weshalb sie bloss einen Rückweisungsantrag stellt, namentlich nicht im Rahmen ihrer Darlegungen der Sachurteilsvoraussetzungen. Die Beschwerdeführerin rügt zwei Punkte: einerseits, dass die Vorinstanz die absolute Wesentlichkeit im Sinne von Art. 25 CISG in Bezug auf die Einhaltung der Mindestzugfestigkeit von 400 MPA bejahte, und anderseits, dass sie die Aufhebung der Kaufverträge spätestens am 13. Januar 2009 als rechtzeitig im Sinne von Art. 49 Abs. 2 lit. b CISG qualifizierte. Sollte das Bundesgericht die Beschwerde schützen, müsste die Vorinstanz die von der Beschwerdegegnerin geltend gemachten weiteren Pflichtverletzungen der Klägerin sowie die ebenfalls bis anhin offen gelassenen Schadenersatzvoraussetzungen prüfen. Im Falle einer Gutheissung müsste daher das Bundesgericht die Sache ohnehin an die Vorinstanz zurückweisen. Der Rückweisungsantrag erweist sich daher als zulässig.</w:t>
      </w:r>
    </w:p>
    <w:p>
      <w:r>
        <w:rPr>
          <w:b/>
        </w:rPr>
        <w:t>E. 1.2</w:t>
      </w:r>
    </w:p>
    <w:p>
      <w:r>
        <w:t>Beruht der angefochtene Entscheid auf mehreren selbstständig tragenden Begründungen, die je für sich den Ausgang des Rechtsstreits besiegeln, so hat der Beschwerdeführer darzulegen, dass jede von ihnen Recht verletzt, andernfalls kann mangels genügender Begründung auf die Beschwerde nicht eingetreten werden ( BGE 136 III 534 E. 2.2 S. 535 f.; BGE 133 IV 119 E. 6.3 S. 120 f.).</w:t>
      </w:r>
    </w:p>
    <w:p>
      <w:r>
        <w:rPr>
          <w:b/>
        </w:rPr>
        <w:t>E. 1.2.1</w:t>
      </w:r>
    </w:p>
    <w:p>
      <w:r>
        <w:t>Die Beschwerdegegnerin macht in diesem Sinne geltend, eine selbstständige Alternativbegründung der Vorinstanz sei unangefochten geblieben, nämlich deren Feststellung, dass die Beschwerdeführerin eine Pflicht zum Aussortieren des Walzdrahtes 8 mm gehabt und sie diese Pflicht verletzt habe. Auch diese Pflichtverletzung sei von der Vorinstanz als wesentliche im Sinne von Art. 25 CISG erachtet worden.</w:t>
      </w:r>
    </w:p>
    <w:p>
      <w:r>
        <w:rPr>
          <w:b/>
        </w:rPr>
        <w:t>E. 1.2.2</w:t>
      </w:r>
    </w:p>
    <w:p>
      <w:r>
        <w:t>Es trifft zu, dass die Vorinstanz eine Pflicht zum Aussortieren des Walzdrahtes 8 mm bejahte und ebenfalls eine Verletzung dieser Pflicht. Dass diese Pflichtverletzung für sich allein als wesentlich zu qualifizieren wäre, hat die Vorinstanz aber nicht festgehalten. An der von der Beschwerdegegnerin angegebenen Stelle bezog sich die Vorinstanz vor allem auf die fehlende Zugfestigkeit. Nur nebenbei erwähnte sie, dass der Walzdraht 8 mm bis zuletzt nicht aussortiert wurde. Eine selbstständig tragende Begründung liegt somit nicht vor.</w:t>
      </w:r>
    </w:p>
    <w:p>
      <w:r>
        <w:rPr>
          <w:b/>
        </w:rPr>
        <w:t>E. 2</w:t>
      </w:r>
    </w:p>
    <w:p>
      <w:r>
        <w:t>Die Beschwerdeführerin stellt die Wesentlichkeit der Vertragsverletzung und damit das Recht der Beschwerdegegnerin zur Vertragsaufhebung in Abrede. Sie ist zudem der Auffassung, selbst wenn die absolute Wesentlichkeit bejaht würde, sei die Vertragsaufhebung nicht rechtzeitig erfolgt. Sie rügt eine Verletzung von Art. 8, 25 und 49 CISG . Dagegen bestreitet sie vor Bundesgericht den von der Vorinstanz ermittelten Inhalt der Vertragsänderung, wonach sie lediglich für 592.851 MT des Walzdrahtes 6,5 mm die Mindestzugfestigkeit von 400 MPA nicht einhalten musste und für die gesamte restliche Menge nach wie vor dazu verpflichtet war, nicht mehr. Ebenfalls unbestritten blieb, dass die Beschwerdeführerin diese Vertragspflicht verletzte, da sie mehr Stahl mit einer Zugfestigkeit unter 400 MPA lieferte.</w:t>
      </w:r>
    </w:p>
    <w:p>
      <w:r>
        <w:rPr>
          <w:b/>
        </w:rPr>
        <w:t>E. 3</w:t>
      </w:r>
    </w:p>
    <w:p>
      <w:r>
        <w:t>Nach Art. 49 Abs. 1 lit. a CISG kann der Käufer die Aufhebung des Vertrags erklären, wenn die Nichterfüllung einer dem Verkäufer nach dem Vertrag oder dem CISG obliegenden Pflicht eine wesentliche Vertragsverletzung darstellt.</w:t>
      </w:r>
    </w:p>
    <w:p>
      <w:r>
        <w:rPr>
          <w:b/>
        </w:rPr>
        <w:t>E. 3.1</w:t>
      </w:r>
    </w:p>
    <w:p>
      <w:r>
        <w:t>Wesentlich ist eine Vertragsverletzung nach Art. 25 CISG , wenn sie für die andere Partei einen solchen Nachteil zur Folge hat, dass ihr im Wesentlichen entgeht, was sie nach dem Vertrag hätte erwarten dürfen, es sei denn, dass die vertragsbrüchige Partei diese Folge nicht vorausgesehen hat und eine vernünftige Person in gleicher Stellung diese Folge unter den gleichen Umständen auch nicht vorausgesehen hätte.</w:t>
      </w:r>
    </w:p>
    <w:p>
      <w:r>
        <w:rPr>
          <w:b/>
        </w:rPr>
        <w:t>E. 3.1.1</w:t>
      </w:r>
    </w:p>
    <w:p>
      <w:r>
        <w:t>Der Begriff der wesentlichen Vertragsverletzung nach Art. 25 CISG ist restriktiv auszulegen. Bei Zweifeln, ob eine wesentliche Vertragsverletzung gegeben ist, ist davon auszugehen, dass eine solche nicht vorliegt (Urteil des Bundesgerichts 4C.105/2000 vom 15. September 2000 E. 2c/aa mit Hinweis, publ. in: SJ 2001 I S. 304). Das UN-Kaufrecht geht vom Vorrang der Vertragserhaltung aus: Der Vertrag soll im Zweifel auch bei Störungen Bestand haben, die Vertragsaufhebung hingegen die Ausnahme sein. Der Käufer soll in erster Linie die anderen Rechtsbehelfe, namentlich Minderung und Schadenersatz, in Anspruch nehmen, während die Rückabwicklung ihm als letzte Möglichkeit zur Verfügung steht, um auf eine Vertragsverletzung der anderen Partei zu reagieren, die so gewichtig ist, dass sie sein Erfüllungsinteresse im Wesentlichen entfallen lässt. Ob die Vertragsverletzung nach dem dargelegten Massstab wesentlich und die schärfste Sanktion der Vertragsaufhebung gerechtfertigt ist, hängt dabei entscheidend von den konkreten Umständen des Einzelfalls ab (Urteil des Bundesgerichts 4C.179/1998 vom 28. Oktober 1998 E. 2b mit Hinweisen).</w:t>
      </w:r>
    </w:p>
    <w:p>
      <w:r>
        <w:rPr>
          <w:b/>
        </w:rPr>
        <w:t>E. 3.1.2</w:t>
      </w:r>
    </w:p>
    <w:p>
      <w:r>
        <w:t>Die Beeinträchtigung eines wesentlichen Gläubigerinteresses hängt nicht vom Ausmass (Nachteil) des dem Gläubiger durch den Vertragsbruch entstandenen Schadens ab. Vielmehr ist es in erster Linie Sache der Parteien, im Vertrag die Bedeutung der Pflichten zu bestimmen. Es ist namentlich vorerst Sache der Parteien, bei Vereinbarung von Eigenschaften der Kaufsache deren Bedeutung so hervorzuheben, dass deutlich wird, dass der Vertrag mit Einhaltung dieser Zusagen "stehen oder fallen" soll. Immerhin kann das Ausmass eines möglichen Gläubigerschadens bei der Frage, welche Bedeutung die Parteien der Erfüllung einer Pflicht zugemessen haben, eine erhebliche Rolle spielen (Peter Schlechtriem/Ulrich G. Schroeter, in: Kommentar zum Einheitlichen UN-Kaufrecht, Schlechtriem/Schwenzer Hrsg., 5. Aufl. München 2008, N. 9 und N. 22 f. zu Art. 25 CISG ; Staudinger/Magnus, Kommentar zum Bürgerlichen Gesetzbuch [...], Wiener UN-Kaufrecht, Berlin 2013, N. 9, 11 und 13 zu Art. 25 CISG ).</w:t>
      </w:r>
    </w:p>
    <w:p>
      <w:r>
        <w:rPr>
          <w:b/>
        </w:rPr>
        <w:t>E. 3.1.3</w:t>
      </w:r>
    </w:p>
    <w:p>
      <w:r>
        <w:t>Fehlen nähere Festlegungen der Parteien, kommt es auf den Vertragszweck und darauf an, wieweit er in objektiver Sicht durch die Vertragsverletzung beeinträchtigt ist (Staudinger/Magnus, a.a.O., N. 13 zu Art. 25 CISG ; zit. Urteil 4C.179/1998 E. 2a mit Hinweis). Nur Warenmängel von erheblichem Gewicht erfüllen in der Regel die Voraussetzungen von Art. 25 CISG . Dazu zählen insbesondere solche Mängel, die mit zumutbarem Aufwand in angemessener Frist nicht behoben werden können, so dass die Ware praktisch unbrauchbar oder unverkäuflich oder ihr Weiterverkauf jedenfalls nicht zumutbar ist (Urteil des Bundesgerichts 4A_68/2009 vom 18. Mai 2009 E. 7.1; zit. Urteil 4C.179/1998 E. 2b; Staudinger/Magnus, a.a.O., N. 26 zu Art. 25 CISG ). Dabei spielt eine Rolle, ob der Käufer Wiederverkäufer (Händler) oder Produzent bzw. Endabnehmer für die jeweilige Ware ist. Die Verwendbarkeit bzw. Veräusserbarkeit minderwertiger Ware für einen Produzenten oder Endabnehmer, der nicht mit den bezogenen Komponenten oder Materialien handelt, wird in der Regel zu verneinen sein (zit. Urteil 4A_68/2009 vom 18. Mai 2009 E. 7.1 mit Hinweisen).</w:t>
      </w:r>
    </w:p>
    <w:p>
      <w:r>
        <w:rPr>
          <w:b/>
        </w:rPr>
        <w:t>E. 3.1.4</w:t>
      </w:r>
    </w:p>
    <w:p>
      <w:r>
        <w:t>Welcher Zeitpunkt für die Frage der Vorhersehbarkeit der Folge einer Vertragsverletzung ( Art. 25 CISG ) beziehungsweise für die Kenntnis oder die Erkennbarkeit des Gewichts der (verletzten) Vertragsinteressen massgeblich ist, wird in der Literatur kontrovers beurteilt. Ein Teil der Lehre will stets auf den Zeitpunkt des Vertragsschlusses abstellen, da nachträgliche Informationen die Pflichtengewichtung als Teil der vertraglichen Äquivalenz nicht mehr verändern. Dem Käufer soll nicht ermöglicht werden, den Verkäufer mit neuen Verwendungszwecken zu belasten (vgl. Beate Gsell, in: Kommentar zum UN-Kaufrecht, Honsell Hrsg., 2. Aufl. Berlin 2009, N. 23 f. zu Art. 25 CISG ; Staudinger/Magnus, a.a.O. N. 16 und 19 zu Art. 25 CISG ; je mit Hinweisen). Ein anderer Teil der Lehre will (zum Teil generell, zum Teil nur ausnahmsweise) bis zum Zeitpunkt der Pflichtverletzung auch eine später erlangte Kenntnis bzw. Erkennbarkeit berücksichtigen (Gsell, a.a.O., N. 23 zu Art. 25 CISG ; Staudinger/Magnus, a.a.O. N. 17 ff. zu Art. 25 CISG ; je mit Hinweisen). Das Bundesgericht stellt in seiner Rechtsprechung auf den Zeitpunkt des Vertragsschlusses ab (zit. Urteil 4C.105/2000 E. 2c/aa). Es hat ergänzend aber auch nachträgliche Informationen berücksichtigt (zit. Urteil 4C.105/2000 E. 2c/bb). Bei einer Vertragsänderung kommt den unterschiedlichen Ansätzen allerdings insoweit keine Bedeutung zu, als jedenfalls sämtliche Informationen bis zu diesem Zeitpunkt massgebend sind (Schlechtriem/ Schroeter, a.a.O., N 15 zu Art. 25 CISG ; Gsell, a.a.O., N. 24 zu Art. 25 CISG ; Staudinger/Magnus, a.a.O., N. 19 zu Art. 25 am Ende). Die Vertragsänderung setzt das Einverständnis des Verkäufers voraus, womit keine nachträgliche, einseitige Mehrbelastung durch den Käufer zur Debatte steht.</w:t>
      </w:r>
    </w:p>
    <w:p>
      <w:r>
        <w:rPr>
          <w:b/>
        </w:rPr>
        <w:t>E. 3.2</w:t>
      </w:r>
    </w:p>
    <w:p>
      <w:r>
        <w:t>Bei der Beurteilung, ob ein Vertragspunkt für die Parteien wesentlich war (vgl. E. 3.1.2 hiervor), kommen die Auslegungsregeln von Art. 8 CISG zur Anwendung.</w:t>
      </w:r>
    </w:p>
    <w:p>
      <w:r>
        <w:rPr>
          <w:b/>
        </w:rPr>
        <w:t>E. 3.2.1</w:t>
      </w:r>
    </w:p>
    <w:p>
      <w:r>
        <w:t>Ziel der Vertragsauslegung ist es, in erster Linie den übereinstimmenden wirklichen Willen der Parteien festzustellen ( Art. 8 Abs. 1 CISG ; Schmidt-Kessel, in: Kommentar zum Einheitlichen UN-Kaufrecht, a.a.O., N. 22 zu Art. 8 CISG ). Diese subjektive Vertragsauslegung beruht auf Beweiswürdigung, die auch im Anwendungsbereich des CISG vorbehältlich der Ausnahmen von Art. 105 Abs. 2 BGG der bundesgerichtlichen Überprüfung entzogen ist (vgl. Urteil des Bundesgerichts 4C.474/2004 vom 5. April 2005 E. 3.2).</w:t>
      </w:r>
    </w:p>
    <w:p>
      <w:r>
        <w:rPr>
          <w:b/>
        </w:rPr>
        <w:t>E. 3.2.2</w:t>
      </w:r>
    </w:p>
    <w:p>
      <w:r>
        <w:t>Wenn eine tatsächliche Willensübereinstimmung unbewiesen bleibt, ist zu prüfen, ob der tatsächliche Wille der einen Partei für die andere aufgrund der gesamten Umstände besonders leicht zu erkennen war, so dass sie darüber nicht in Unkenntnis sein konnte und auf dieses Verständnis abzustellen ist ( Art. 8 Abs. 1 CISG in fine; vgl. Schmidt-Kessel, a.a.O. N. 16 und 21-24 zu Art. 8 CISG ). Ist dies nicht der Fall, sind zur Ermittlung des mutmasslichen Parteiwillens die Erklärungen der Parteien normativ so auszulegen, wie sie nach ihrem Wortlaut und Zusammenhang sowie den gesamten Umständen von einer vernünftigen Person in gleicher Stellung wie die andere Partei verstanden worden wären ( Art. 8 Abs. 2 CISG ; Urteil des Bundesgerichts 4C.103/2003 vom 4. August 2003 E. 4.3). Diese Regelung entspricht den Grundsätzen der Auslegung nach dem Vertrauensprinzip (Urteil des Bundesgerichts 4A_24/2013 vom 23. April 2013 E. 4; zit. Urteile 4C.474/2004 E. 3.5; 4C.103/2003 E. 4.3; Schmidt-Kessel, a.a.O. N. 19 zu Art. 8 CISG ). Um den Willen einer Partei oder die Auffassung festzustellen, die eine vernünftige Person gehabt hätte, sind alle erheblichen Umstände zu berücksichtigen, insbesondere die Verhandlungen zwischen den Parteien, die zwischen ihnen entstandenen Gepflogenheiten, die Handelsbräuche und das spätere Verhalten der Parteien ( Art. 8 Abs. 3 CISG ; Schmidt-Kessel, a.a.O. N. 20 zu Art. 8 CISG ). Sowohl die Frage, ob die Gegenpartei die tatsächliche Bedeutung einer Aussage erkennen musste, als auch die objektivierte Auslegung nach dem Verständnis einer vernünftigen Person überprüft das Bundesgericht als Rechtsfrage, wobei es an Feststellungen des kantonalen Richters über die äusseren Umstände sowie das Wissen und Wollen der Beteiligten grundsätzlich ( Art. 105 BGG ) gebunden ist (zit. Urteil 4C.474/2004 E. 3.4 mit Hinweisen).</w:t>
      </w:r>
    </w:p>
    <w:p>
      <w:r>
        <w:rPr>
          <w:b/>
        </w:rPr>
        <w:t>E. 3.3</w:t>
      </w:r>
    </w:p>
    <w:p>
      <w:r>
        <w:t>Die Vorinstanz hielt fest, gemäss Spezifikation in den Kaufverträgen sollte die Zugfestigkeit des Walzdrahtes mindestens 400 MPA betragen. Aufgrund der Erwartungen sei sodann davon auszugehen, dass die Parteien dieser Qualitätsvereinbarung wesentliche Bedeutung im Sinne von Art. 25 CISG beimassen. Das ergebe sich vorerst daraus, dass die Beklagte im klägerischen Vertragsentwurf für den Walzdraht 8 mm handschriftlich die Mindestzugfestigkeit von 400 MPA angebracht habe, welche von der Klägerin dann in den Kaufvertrag vom 23. Mai 2008 übernommen worden sei. Die Klägerin habe deshalb damit rechnen müssen, dass die Mindestzugfestigkeit von 400 MPA auch eine bedeutende Eigenschaft für den Walzdraht 6,5 mm sei, zumal sie selbst dargelegt habe, dass die vertragliche Festlegung einer Mindestzugfestigkeit im Stahlhandel nicht üblich sei. Zudem sei die Zugfestigkeit von 400 MPA auch als mechanische Eigenschaft des Walzdrahtes 6,5 mm und des Walzdrahtes 8 mm ins Dokumentenakkreditiv aufgenommen worden. Damit hätten sich die Parteien ausdrücklich darauf verständigt, dass es entscheidend auf die Mindestzugfestigkeit von 400 MPA ankommen soll, habe doch die Pflicht der Bank zur Bezahlung der Akkreditivsumme von dieser Eigenschaft des Walzdrahtes abgehangen. Daran ändere nichts, dass der Verwendungszweck für den Walzdraht in den Kaufverträgen nicht festgelegt worden sei. Die Wesentlichkeit einer Eigenschaft könne vertraglich auch absolut, ohne Rücksicht auf einen bestimmten Verwendungszweck festgelegt werden. Auf die klägerische Mitteilung vom 24. Juli 2008, dass nach dem "Mill Test Certificate" 12 Schmelznummern des Walzdrahtes 6,5 mm und 33 Schmelznummern des Walzdrahtes 8 mm eine Zugfestigkeit von weniger als 400 MPA aufweisen, habe die Beklagte sodann geantwortet, dass dies ein grosses Problem darstelle; sie könne diesen Walzdraht nicht für alle vorgesehenen Verwendungen brauchen. Damit habe sie im massgeblichen Zeitpunkt der Vertragsänderung in aller Deutlichkeit zum Ausdruck gebracht, dass es ihr auf die Mindestzugfestigkeit von 400 MPA ankomme, und zwar insbesondere auch beim Walzdraht 6,5 mm. Es sei der Klägerin klar gewesen, dass es der Beklagten mit Ausnahme der 12 Schmelznummern des Walzdrahtes 6,5 mm auf die Mindestzugfestigkeit von 400 MPA angekommen sei. Dies gehe eindeutig aus einer Mitteilung der Klägerin vom 25. August 2008 hervor. Darin habe sie die Beklagte informiert, dass "die Chinesen" den Walzdraht 8 mm (mit einer Mindestzugfestigkeit von 400 MPA) nicht aussortiert hätten. Sie wisse nicht, wie viele Schmelznummern unter 400 MPA liegen würden; sie versichere aber, von diesem Problem nicht wegzulaufen.</w:t>
      </w:r>
    </w:p>
    <w:p>
      <w:r>
        <w:rPr>
          <w:b/>
        </w:rPr>
        <w:t>E. 3.4</w:t>
      </w:r>
    </w:p>
    <w:p>
      <w:r>
        <w:t>Die Vorinstanz ging davon aus, die Parteien hätten der Mindestzugfestigkeit von 400 MPA eindeutig wesentliche Bedeutung zugemessen. Dazu wäre notwendig, dass eine vernünftige Person in der Situation der Beschwerdeführerin hätte erkennen müssen, dass die Vereinbarung mit der Einhaltung einer Mindestzugfestigkeit von 400 MPA "stehen oder fallen" soll (vgl. E. 3.1.2 und 3.2.2 hiervor). Massgeblich für die Erkennbarkeit ist der Zeitpunkt der Vertragsänderung (E. 3.1.4 hiervor).</w:t>
      </w:r>
    </w:p>
    <w:p>
      <w:r>
        <w:rPr>
          <w:b/>
        </w:rPr>
        <w:t>E. 3.4.1</w:t>
      </w:r>
    </w:p>
    <w:p>
      <w:r>
        <w:t>Die Beschwerdegegnerin hebt hervor, die vereinbarte Vertragsänderung zeige, dass sie einzig bereit gewesen sei, die kleine Menge von 592.851 MT des Walzdrahtes 6,5 mm mit einer Zugfestigkeit unter 400 MPA zu akzeptieren. Diese Menge habe lediglich 8,4 % des Gesamtgewichts entsprochen und sei deutlich weniger gewesen als die anfänglich von der Beschwerdeführerin genannte Menge (12 Schmelznummern des Walzdrahtes 6,5 mm und 33 Schmelznummern des Walzdrahtes 8 mm). Im Rahmen der Vertragsänderung wurde zwar vereinbart, dass lediglich 592.851 MT des Walzdrahtes 6,5 mm mit einer Zugfestigkeit unter 400 MPA geliefert würde. Der Vorschlag für die schliesslich vereinbarte Änderung kam aber nicht von der Beschwerdegegnerin, sondern mit E-mail vom 31. Juli 2008 von der Beschwerdeführerin. Nach der verbindlichen Feststellung der Vorinstanz enthielten die mit anderen italienischen Kunden für den mit dem gleichen Schiff verschifften Walzdraht derselben chinesischen Herstellerin abgeschlossenen Kaufverträge keine Mindestzugfestigkeit. Für die Beschwerdeführerin ergab sich deshalb die Möglichkeit, für den Walzdraht 8 mm die vertragliche Verpflichtung (Zugfestigkeit von mindestens 400 MPA) ohne Vertragsänderung zu erfüllen, indem sie die in der Lieferung für die Beschwerdegegnerin festgestellten 33 mangelhaften Schmelznummern durch Schmelznummern aus Lieferungen für die anderen italienischen Kunden ersetzte. Mit einem solchen Vorgehen hätte sie eine Preisminderung für den Walzdraht 8 mm vermeiden können. Ging der Vorschlag für die schliesslich vereinbarte Vertragsänderung somit nicht von der Beschwerdegegnerin aus, kann daraus auch nicht abgeleitet werden, dass diese keineswegs mehr als die kleine Menge von 592.851 MT des Walzdrahtes mit einer Zugfestigkeit unter 400 MPA akzeptieren wollte. Vielmehr hatte die Beschwerdegegnerin ihrerseits vor der Änderungsofferte der Beschwerdeführerin ihre Bereitschaft bekundet, die mangelhaften 12 Schmelznummern des Walzdrahtes 6,5 mm und die mangelhaften 33 Schmelznummern des Walzdrahtes 8 mm gegen eine Kaufpreisminderung um USD 30.-- pro MT zu akzeptieren. Mit E-mail vom 1. August 2008 bestätigte die Beschwerdegegnerin sodann, sie werde das Dokumentenakkreditiv entsprechend dem Vorschlag der Beschwerdeführerin für die Vertragsänderung anpassen. Sie verlangte aber eine schriftliche Bestätigung von Herrn B.________, dass der Rest des Materials mit dem Vertrag konform sei. Sollte sich in der Folge bei der Überprüfung des Materials im Hafen von K.________ Werte ergeben, die unter 400 MPA lägen, würde sie aber die Firma B.________ s.a.s. mit der Preisdifferenz von USD 30.-- pro MT belasten. Damit gab sie zu erkennen, dass sie zwar davon ausging, abgesehen von den 592.851 MT Walzdraht 6,5 mm sei eine Mindestzugfestigkeit von 400 MPA vertraglich geschuldet. Gleichzeitig gab die Beschwerdegegnerin aber zu verstehen, dass sie bereit war, eine darüber hinausgehende Quote mangelhafter Ware zu dem geringeren Preis zu akzeptieren. Dies liess bei Abschluss der Vertragsänderung aus der Position der Beschwerdeführerin objektiv nicht erkennen, dass für die Beschwerdegegnerin die Einhaltung einer Zugfestigkeit von 400 MPA von absoluter Wesentlichkeit wäre.</w:t>
      </w:r>
    </w:p>
    <w:p>
      <w:r>
        <w:rPr>
          <w:b/>
        </w:rPr>
        <w:t>E. 3.4.2</w:t>
      </w:r>
    </w:p>
    <w:p>
      <w:r>
        <w:t>Daran ändert entgegen der Auffassung der Vorinstanz nichts, dass die Beschwerdegegnerin in ihrem E-mail vom 24. Juli 2008, 11.17 Uhr, von einem "problema grosso" sprach, denn sie begründete dies damit, dass sie den mangelhaften Walzdraht nicht für alle vorgesehenen Verwendungen brauchen könne, erklärte sich dann aber wie dargelegt doch bereit, minderwertigen Walzdraht zu einem reduzierten Preis zu akzeptieren. Daraus musste die Beschwerdeführerin nicht ableiten, die Beschwerdegegnerin habe für Ware von geringerer Zugfestigkeit keine Verwendung. Auch dass der Beschwerdeführerin mit Blick auf die fehlende Aussortierung bewusst war, was zur korrekten Vertragserfüllung notwendig gewesen wäre, lässt objektiv nicht darauf schliessen, sie hätte eine allfällige Unbrauchbarkeit mangelhafter Ware für die Beschwerdegegnerin erkennen müssen. Eine Eigenschaft kann für den Käufer auch lediglich für die Preisgestaltung "wesentlich" sein, ohne dass damit die Vereinbarung stehen und fallen soll. Unbestritten verlangten beide Verträge ursprünglich eine Mindestzugfestigkeit von 400 MPA. Dass die vertragliche Festlegung einer Mindestzugfestigkeit im Stahlhandel nicht üblich ist, sagt indessen nichts darüber aus, ob der Punkt für den Vertragsabschluss als solchen oder lediglich für den ausgehandelten Preis ausschlaggebend war. Darüber gibt auch die Tatsache, dass die Zugfestigkeit von 400 MPA ins Dokumentenakkreditiv aufgenommen worden ist und damit die Pflicht der Bank zur Bezahlung der Akkreditivsumme von dieser Eigenschaft des Walzdrahtes abhing, keine Auskunft. Dies war notwendig, um zu verhindern, dass die volle Akkreditivsumme für Ware mit ungenügender Zugfestigkeit ausbezahlt wird.</w:t>
      </w:r>
    </w:p>
    <w:p>
      <w:r>
        <w:rPr>
          <w:b/>
        </w:rPr>
        <w:t>E. 3.5</w:t>
      </w:r>
    </w:p>
    <w:p>
      <w:r>
        <w:t>Eine vernünftige Person musste aufgrund der festgestellten Umstände nicht davon ausgehen, die Einhaltung der Zugfestigkeit sei aus Sicht der Beschwerdegegnerin für den Bestand des Vertrages absolut wesentlich. Somit bleibt zu prüfen, ob der Vertragszweck durch die mangelhafte Qualität in objektiver Hinsicht wesentlich beeinträchtigt wurde (vgl. E. 3.1.3) bzw. ob allenfalls andere wesentliche Vertragsverletzungen vorlagen, die eine Aufhebung des Vertrags zu rechtfertigen vermöchten. Diesbezüglich hat die Vorinstanz keine Feststellungen getroffen, weshalb die Sache an sie zurückzuweisen ist.</w:t>
      </w:r>
    </w:p>
    <w:p>
      <w:r>
        <w:rPr>
          <w:b/>
        </w:rPr>
        <w:t>E. 4</w:t>
      </w:r>
    </w:p>
    <w:p>
      <w:r>
        <w:t>Die Beschwerdeführerin rügt nur für den Fall, dass das Bundesgericht die absolute Wesentlichkeit ebenfalls bejaht, eine Verletzung von Art. 49 CISG wegen verspäteter Vertragsaufhebung, weil diesfalls die Wesentlichkeit schon grundsätzlich und unabhängig vom konkreten Ausmass der mangelbehafteten Ware festgestanden hätte. Nachdem die subjektive (absolute) Wesentlichkeit verneint wurde, muss darauf nicht weiter eingegangen werden.</w:t>
      </w:r>
    </w:p>
    <w:p>
      <w:r>
        <w:rPr>
          <w:b/>
        </w:rPr>
        <w:t>E. 5</w:t>
      </w:r>
    </w:p>
    <w:p>
      <w:r>
        <w:t>Damit ist das angefochtene Urteil aufzuheben und die Sache zu neuer Beurteilung an die Vorinstanz zurückzuweisen ( Art. 107 Abs. 2 BGG ). 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