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263/2021 vom 21. Oktober 2021</w:t>
      </w:r>
    </w:p>
    <w:p>
      <w:r>
        <w:t>Bundesgericht, 2021-10-21, FR</w:t>
      </w:r>
    </w:p>
    <w:p>
      <w:r>
        <w:rPr>
          <w:b/>
        </w:rPr>
        <w:t xml:space="preserve">Quelle: </w:t>
      </w:r>
      <w:r>
        <w:t>https://mcp.opencaselaw.ch/entscheid/bger_4A_263_2021</w:t>
      </w:r>
    </w:p>
    <w:p>
      <w:r>
        <w:t>FR: TF 4A 263/2021 du 21 octobre 2021</w:t>
      </w:r>
    </w:p>
    <w:p>
      <w:r>
        <w:t>IT: TF 4A 263/2021 del 21 ottobre 2021</w:t>
      </w:r>
    </w:p>
    <w:p>
      <w:pPr>
        <w:pStyle w:val="Heading2"/>
      </w:pPr>
      <w:r>
        <w:t>Regeste</w:t>
      </w:r>
    </w:p>
    <w:p>
      <w:r>
        <w:t>responsabilité de l'employeur (art. 55 CO), | Assurance responsabilité civile</w:t>
      </w:r>
    </w:p>
    <w:p>
      <w:pPr>
        <w:pStyle w:val="Heading2"/>
      </w:pPr>
      <w:r>
        <w:t>Erwägungen</w:t>
      </w:r>
    </w:p>
    <w:p>
      <w:r>
        <w:rPr>
          <w:b/>
        </w:rPr>
        <w:t>E. 1</w:t>
      </w:r>
    </w:p>
    <w:p>
      <w:r>
        <w:t>Interjeté dans le délai fixé par la loi ( art. 100 al. 1 et art. 46 al. 1 let. a LTF ) par le client, qui a partiellement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 Devant l'autorité précédente, le client demandeur a conclu, en substance, à ce que la société défenderesse soit condamnée à lui verser 727'341 fr., intérêts en sus. Dans le présent recours, il conclut en sus à la condamnation de l'intimée au paiement de 160'241 fr. 52, intérêts en sus (cf. supra consid. C). Nouvelle et excédant ses conclusions initiales, cette conclusion est irrecevable ( art. 99 al. 2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temps, le recourant soulève plusieurs griefs à l'encontre de l'expertise. Il reproche à la cour cantonale, d'une part, de ne pas avoir soumis certains allégués à l'expert et de ne pas avoir motivé ce refus et, d'autre part, d'avoir retenu que l'expertise était concluante et complète et d'avoir refusé de mettre en oeuvre une contre-expertise. Il invoque un établissement arbitraire des faits, une appréciation arbitraire des preuves et une violation de son droit d'être entendu ( art. 29 al. 2 Cst. et art. 53 CPC ), du droit à la preuve ( art. 152 CPC ), du fardeau de la preuve ( art. 8 CC ) et de l' art. 188 al. 2 CPC .</w:t>
      </w:r>
    </w:p>
    <w:p>
      <w:r>
        <w:rPr>
          <w:b/>
        </w:rPr>
        <w:t>E. 3.1.1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 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4A_438/2019 du 23 octobre 2019 consid. 4.2). En revanche, le droit à la preuve n'est pas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129 III 18 consid. 2.6; arrêt 4A_66/2018 précité consid. 2.1 et 2.1.1 et les arrêts cités). Le recourant doit alors invoquer l'arbitraire ( art. 9 Cst. ) dans l'appréciation des preuves, en motivant son grief conformément aux exigences plus strictes de l' art. 106 al. 2 LTF ( ATF 137 I 58 consid. 4.1.2; 134 II 244 consid. 2.2).</w:t>
      </w:r>
    </w:p>
    <w:p>
      <w:r>
        <w:rPr>
          <w:b/>
        </w:rPr>
        <w:t>E. 3.1.2</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 4A_40/2021 du 10 juin 2021 consid. 3.2 et les arrêts cités).</w:t>
      </w:r>
    </w:p>
    <w:p>
      <w:r>
        <w:rPr>
          <w:b/>
        </w:rPr>
        <w:t>E. 3.1.3</w:t>
      </w:r>
    </w:p>
    <w:p>
      <w:r>
        <w:t>L'expertise est l'un des moyens de preuve admis par le CPC ( art. 168 al. 1 let . d et art. 183 ss CPC ). Un droit à la preuve par expertise peut résulter expressément du droit fédéral (par exemple l' art. 450e al. 3 CC ), mais il peut aussi exister lorsque l'expertise apparaît comme le seul moyen de preuve adéquat, en particulier lorsque le juge n'est pas à même de résoudre, sur la base de ses propres connaissances, la question qui lui est soumise (arrêt 4A_599/2019 du 1er mars 2021 consid. 6.1 et les arrêts cités).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 ATF 118 Ia 144 consid. 1c et les références citées; arrêt 4A_599/2019 précité consid. 6.1 et l'arrêt cité). Aux termes de l' art. 188 al. 2 CPC , le tribunal peut, à la demande d'une partie ou d'office, faire compléter ou expliquer un rapport lacunaire, peu clair ou insuffisamment motivé, ou faire appel à un autre expert. Savoir si l'expertise est lacunaire, peu claire ou insuffisamment motivée, au sens de l' art. 188 al. 2 CPC , autrement dit si elle est convaincante ou non, est une question d'appréciation des preuves que le Tribunal fédéral ne peut revoir que sous l'angle de l'arbitraire ( art. 9 Cst. ; ATF 136 III 552 consid. 4.2; 129 I 8 consid. 2.1; arrêt 5A_741/2018 du 18 janvier 2019 consid. 7.2; s'agissant précisément de l'application de l' art. 188 al. 2 CPC , cf. arrêt 5A_86/2016 du 5 septembre 2016 consid. 4.1.2). Si les conclusions d'une expertise judiciaire apparaissent douteuses sur des points essentiels, le juge doit recueillir des preuves complémentaires pour tenter de dissiper ses doutes. À défaut, en se fondant sur une expertise non concluante, il pourrait procéder à une appréciation arbitraire des preuves et violer l' art. 9 Cst. ( ATF 136 II 539 consid. 3.2; 118 Ia 144 consid. 1c).</w:t>
      </w:r>
    </w:p>
    <w:p>
      <w:r>
        <w:rPr>
          <w:b/>
        </w:rPr>
        <w:t>E. 3.2</w:t>
      </w:r>
    </w:p>
    <w:p>
      <w:r>
        <w:t>En l'espèce, la cour cantonale a retenu que le demandeur n'avait soulevé aucune objection sérieuse ébranlant le caractère concluant de l'expertise, qui a été utilement complétée par l'audition de l'expert. En particulier, il n'y avait aucune raison de penser que l'analyse de l'expert, selon laquelle le gestionnaire avait manqué de perspicacité, était inexacte, dans la mesure où l'expert a expliqué en détail les causes des pertes et a relevé, en accord avec les autres pièces du dossier, que le client connaissait et voulait le type de gestion pratiquée par le gestionnaire et qu'il avait pris des risques en lui confiant plus de quatre millions de francs pour faire des opérations de trading . Il était par ailleurs admissible que l'expert porte une appréciation sur le profil psychologique du gestionnaire afin d'analyser sa stratégie de gestion. Contrairement à ce que soutenait le client, l'expert avait par ailleurs répondu à la question de savoir si le gestionnaire et la société s'étaient rendus coupables de barattage, en considérant que la multiplication des opérations ne permettait pas en l'occurrence de conclure à du barattage dès lors qu'elle était intrinsèque à la stratégie de gestion choisie, qui était connue et acceptée par le client. En tant que le rapport d'expertise ne présentait aucune lacune grossière, une contre-expertise n'était pas justifiée.</w:t>
      </w:r>
    </w:p>
    <w:p>
      <w:r>
        <w:rPr>
          <w:b/>
        </w:rPr>
        <w:t>E. 3.3</w:t>
      </w:r>
    </w:p>
    <w:p>
      <w:r>
        <w:t>Le recourant soutient que la cour cantonale a violé son droit d'être entendu (1) en se contenant d'affirmer que l'expertise ne souffrirait d'aucune lacune grossière, " sans examiner concrètement les reproches soulevés ", (2) en passant sous silence le grief que l'expert n'a jamais été invité à se déterminer sur certains allégués relatifs à l'analyse de la stratégie, de la gestion et des omissions du gestionnaire et de la société, ce qui l'a par ailleurs empêché d'apporter la preuve des faits correspondants et (3) en motivant de manière péremptoire son refus de mettre en oeuvre une contre-expertise. Selon lui, l'expertise est lacunaire, imprécise et contradictoire, dans la mesure (1) où les extraits de comptes à disposition du client n'étaient pas fiables, (2) où l'expert n'a pas identifié la cause des pertes et (3) où l'expertise est hors sujet en tant qu'elle dresse le profil psychologique du gestionnaire quand bien même l'expert n'est ni psychologue ni psychiatre. Par ailleurs, certains faits relatifs aux pertes subies doivent selon lui être complétés. Dès lors, l'expertise est selon lui inexploitable et la cour cantonale a erré en ne mettant pas en oeuvre une contre-expertise.</w:t>
      </w:r>
    </w:p>
    <w:p>
      <w:r>
        <w:rPr>
          <w:b/>
        </w:rPr>
        <w:t>E. 3.4</w:t>
      </w:r>
    </w:p>
    <w:p>
      <w:r>
        <w:t>Les griefs du recourant ne sauraient prospérer. Contrairement à ce qu'il invoque, la cour cantonale a examiné les reproches qu'il avait formulés à l'encontre de l'expertise et motivé les raisons pour lesquelles elle ne reconnaissait pas l'existence de lacunes grossières au sujet du rapport d'expertise et, partant, considérait que la mise en oeuvre d'une contre-expertise n'était pas nécessaire. Le grief de violation du droit d'être entendu doit dès lors être rejeté sur ces points. Par ailleurs, lorsqu'il reproche à la cour cantonale de ne pas avoir motivé les raisons pour lesquelles elle a refusé de soumettre à l'expert certains de ses allégués afin qu'il se détermine à leur propos, il n'établit pas, avec référence précise aux pièces du dossier, qu'il a effectivement fait valoir un grief correspondant devant l'autorité précédente. Son grief est donc irrecevable sur cette question. S'agissant du caractère prétendument lacunaire, imprécis et contradictoire de l'expertise, le recourant se contente de substituer son appréciation à celle de la cour cantonale et n'établit donc pas, ou du moins pas suffisamment, que la cour cantonale aurait commis l'arbitraire dans son appréciation des preuves (cf. supra consid. 2.1 et 3.1.3). Ce grief est ainsi également irrecevable. Il en va de même de son grief tendant au complètement de l'état de fait retenu par la cour cantonale, en tant que le recourant ne se conforme pas aux exigences strictes en la matière.</w:t>
      </w:r>
    </w:p>
    <w:p>
      <w:r>
        <w:rPr>
          <w:b/>
        </w:rPr>
        <w:t>E. 4</w:t>
      </w:r>
    </w:p>
    <w:p>
      <w:r>
        <w:t>Dans un second temps, tandis que le tribunal de première instance avait retenu que le client était lié à la société par un mandat de gestion de fortune et, partant, une responsabilité de la société sur la base des art. 398 al. 2 et 97 ss CO , dont l' art. 101 al. 1 CO , et que la cour cantonale n'a essentiellement examiné que les griefs fondés sur les art. 158 ch. 1 CP et 400 al. 1 et 55 al. 1 CO, le recourant invoque, en substance, que les conditions de la responsabilité de l'intimée selon l' art. 55 al. 1 CO seraient remplies, dans la mesure où les éléments constitutifs de l' art. 158 CP sont réalisés, où il a allégué et prouvé que le gestionnaire avait agi intentionnellement, où il ne lui incombait pas de prouver l'absence de preuve libératoire de l'intimée, où son dommage est réputé admis et où les pertes qu'il a essuyées ont pour cause adéquate la seule gestion déloyale de l'intimée, par l'entremise du gestionnaire qui était son employé. Il invoque pêle-mêle un établissement arbitraire des faits et la violation du droit d'être entendu, des art. 41 et 55 CO , de l' art. 8 CC , des art. 50 et 150 CPC et de l' art. 158 CP .</w:t>
      </w:r>
    </w:p>
    <w:p>
      <w:r>
        <w:rPr>
          <w:b/>
        </w:rPr>
        <w:t>E. 4.1.1</w:t>
      </w:r>
    </w:p>
    <w:p>
      <w:r>
        <w:t>En vertu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 art. 55 CO est une norme de responsabilité pour le fait d'autrui. Il s'agit d'un cas de responsabilité objective simple ( ATF 110 II 456 consid. 2; arrêts 4A_635/2020 du 5 mai 2021 consid. 3.1 et les arrêts cités; 4A_616/2019 du 17 avril 2020 consid. 4.1.1). Elle est subordonnée à la réalisation de cinq conditions, que doit prouver le lésé: (1) un acte d'un auxiliaire se trouvant dans un rapport de subordination personnelle à l'égard d'un employeur; (2) un acte commis dans l'accomplissement de son travail; (3) un acte illicite; (4) un dommage et (5) un rapport de causalité entre le dommage et l'acte illicite de l'auxiliaire. Il incombe à l'employeur d'apporter les preuves libératoires que sont le fait qu'il a pris tous les soins commandés par les circonstances pour détourner un dommage de ce genre ou le fait que sa diligence n'eût pas empêché le dommage de se produire (arrêt 4A_616/2019 précité consid. 4.1.1 et la référence citée). Est notamment illicite (condition no 3) l'acte de celui qui, en vertu de la loi, d'un mandat officiel ou d'un acte juridique, est tenu de gérer les intérêts pécuniaires d'autrui ou de veiller sur leur gestion et qui, en violation de ses devoirs, porte atteinte à ces intérêts ou permet qu'ils soient lésés (cf. art. 158 ch. 1 CP ).</w:t>
      </w:r>
    </w:p>
    <w:p>
      <w:r>
        <w:rPr>
          <w:b/>
        </w:rPr>
        <w:t>E. 4.1.2</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arrêt 4A_606/2020 du 1er septembre 2021 consid. 4.2.3, destiné à la publication). Le demandeur, qui supporte le fardeau de l'allégation objectif ( objektive Behauptungslast ) et le fardeau de la preuve ( objektive Beweislast d'un fait;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 arrêt 4A_606/2020 précité consid. 4.2.3, destiné à la publication).</w:t>
      </w:r>
    </w:p>
    <w:p>
      <w:r>
        <w:rPr>
          <w:b/>
        </w:rPr>
        <w:t>E. 4.2</w:t>
      </w:r>
    </w:p>
    <w:p>
      <w:r>
        <w:t>En l'espèce, la cour cantonale a tout d'abord considéré que c'était à juste titre que le tribunal avait condamné la société à restituer au client les rétrocessions qu'elle avait perçues de la part de la banque, dès lors qu'il n'avait pas renoncé à celles-ci. Ensuite, elle a retenu que le demandeur n'avait pas établi que tous les éléments constitutifs de l' art. 158 CP étaient réalisés, dans la mesure notamment où il n'avait jamais allégué devant le tribunal que le gestionnaire avait agi intentionnellement, ce qui ne ressortait en tout état de cause pas du dossier. La cour cantonale a considéré, au vu des documents d'ouverture de comptes, des conditions générales et des procurations signés par le demandeur, que celui-ci souhaitait une politique d'investissement agressive et risquée, et non une gestion conservatrice. De par sa formation en économie, son expérience dans le domaine des affaires et les indications qu'il avait pu recueillir, le demandeur avait compris le type de gestion qu'il avait lui-même sollicité et en connaissait les risques. Il était par ailleurs assisté par un avocat depuis mai 2008, de sorte qu'il a accepté en pleine connaissance de cause les opérations menées pour son compte. Dès lors, le client demandeur a bel et bien validé, par l'ensemble de son comportement, la gestion effectuée par le gestionnaire durant la période pendant laquelle il était employé de la défenderesse, de sorte qu'aucune responsabilité ne peut être mise à charge de celle-ci de ce fait.</w:t>
      </w:r>
    </w:p>
    <w:p>
      <w:r>
        <w:rPr>
          <w:b/>
        </w:rPr>
        <w:t>E. 4.3</w:t>
      </w:r>
    </w:p>
    <w:p>
      <w:r>
        <w:t>En substance, le recourant soutient (1) que, contrairement à ce que la cour cantonale a retenu, l'expert n'avait pas nié que le gestionnaire eût commis du barattage et qu'il y eût eu gestion déloyale au vu du montant des frais facturés par la banque l'empêchant de dégager le moindre bénéfice, (2) qu'il avait allégué dans sa demande que le gestionnaire avait agi intentionnellement, son allégué no 122 indiquant que " le nombre d'opérations effectuées sur le compte du demandeur est tel et leur résultat est si catastrophique qu'il est évident qu'elles n'ont été exécutées que pour permettre à [la banque] d'encaisser des commissions puis à [la société] d'encaisser des rétrocessions, sans égard pour le demandeur, lequel subissait des pertes considérables ", (3) qu'il est insoutenable de nier l'existence d'une quelconque intention du gestionnaire au motif que le client aurait souhaité une gestion extrêmement agressive, (4) que la méthode de trading du gestionnaire, qui faisait fi des pertes continuelles subies par le client, avait pour résultat d'enrichir la banque, la société et lui-même et que le gestionnaire agissait donc intentionnellement, (5) que le fardeau de la preuve libératoire incombe à l'employeur, (6) que la cour cantonale a violé son droit d'être entendu en omettant d'examiner la condition du dommage et (7) que la cour cantonale aurait dû attribuer les pertes subies à la gestion désastreuse du gestionnaire.</w:t>
      </w:r>
    </w:p>
    <w:p>
      <w:r>
        <w:rPr>
          <w:b/>
        </w:rPr>
        <w:t>E. 4.4</w:t>
      </w:r>
    </w:p>
    <w:p>
      <w:r>
        <w:t>Le recourant tente, par le truchement de l' art. 158 CP , d'établir l'illicéité de la gestion opérée par le gestionnaire. Dans ce contexte, c'est à tort qu'il prétend avoir allégué que le gestionnaire avait agi intentionnellement. En effet, il ressort de sa demande du 13 septembre 2012 que l'allégué no 122 qu'il invoque se situe, d'une part, dans la partie relative au préjudice qu'il a subi et non dans celle portant sur la responsabilité du gestionnaire et/ou de la société et, d'autre part, immédiatement après plusieurs allégués selon lesquels la société a géré ses avoirs durant la période litigieuse, soit de novembre 2008 à janvier 2009. Partant, pour autant que l'on puisse retenir que le recourant ait valablement allégué l'existence d'une intention, il s'agirait tout au plus de celle de la société et non de celle du gestionnaire, dont il ne fait pas mention, même à titre d'employé de la société, s'agissant de la période litigieuse. C'est dès lors à juste titre que la cour cantonale a retenu que le client demandeur n'avait pas allégué que le gestionnaire avait agi intentionnellement. Ce fait ne faisant pas partie du cadre du procès, le recourant supporte le fardeau de l'allégation objectif ( art. 8 CC ) de son absence. Par ailleurs, le recourant ne remet pas en cause, ou du moins pas suffisamment, le fait qu'il a voulu et validé la gestion effectuée par le gestionnaire pendant la période litigieuse. En effet, il ressort des faits constatés par la cour cantonale que le client demandeur souhaitait une politique d'investissement agressive et risquée, et non une gestion conservatrice; il y a ainsi consenti dans l'espoir de voir sa fortune s'accroître fortement, mais également au risque de subir des pertes tout aussi importantes. Cet élément est renforcé par le fait (1) que le client avait accès en temps réel à son compte et qu'il était dès lors en mesure de se renseigner sur les opérations effectuées, (2) qu'il a continué à confier ses avoirs au gestionnaire après que celui-ci a géré son patrimoine auprès de D.________ SA et a fait usage de produits dérivés dans le contexte de dite gestion et (3) que le client a établi une nouvelle procuration en faveur du gestionnaire quand bien même il subissait alors des pertes. Certes, la gestion opérée se caractérisait par un nombre élevé de transactions et par des titres conservés à brève échéance, mais telle était précisément la stratégie proposée par le gestionnaire et voulue par le client, de manière à profiter des fluctuations de cours à court terme. Partant, le recourant n'a pas valablement contesté que l'hypothétique illicéité des agissements du gestionnaire ne fût levée par son consentement. Dans la mesure où au moins l'une des conditions de responsabilité de l'intimée n'est pas remplie, il est superflu d'examiner les autres griefs du recourant, relatifs aux autres conditions de responsabilité et aux preuves libératoires y afférentes. Les griefs du recourant doivent donc être rejetés.</w:t>
      </w:r>
    </w:p>
    <w:p>
      <w:r>
        <w:rPr>
          <w:b/>
        </w:rPr>
        <w:t>E. 5</w:t>
      </w:r>
    </w:p>
    <w:p>
      <w:r>
        <w:t>Au vu de ce qui précède, le recours doit être rejeté, dans la mesure où il est recevable.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