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263/2018 vom 9. Juli 2018</w:t>
      </w:r>
    </w:p>
    <w:p>
      <w:r>
        <w:t>Bundesgericht, 2018-07-09, DE</w:t>
      </w:r>
    </w:p>
    <w:p>
      <w:r>
        <w:rPr>
          <w:b/>
        </w:rPr>
        <w:t xml:space="preserve">Quelle: </w:t>
      </w:r>
      <w:r>
        <w:t>https://mcp.opencaselaw.ch/entscheid/bger_4A_263_2018</w:t>
      </w:r>
    </w:p>
    <w:p>
      <w:r>
        <w:t>FR: TF 4A 263/2018 du 9 juillet 2018</w:t>
      </w:r>
    </w:p>
    <w:p>
      <w:r>
        <w:t>IT: TF 4A 263/2018 del 9 luglio 2018</w:t>
      </w:r>
    </w:p>
    <w:p>
      <w:pPr>
        <w:pStyle w:val="Heading2"/>
      </w:pPr>
      <w:r>
        <w:t>Regeste</w:t>
      </w:r>
    </w:p>
    <w:p>
      <w:r>
        <w:t>Ausstand | Obligationenrecht (allgemein)</w:t>
      </w:r>
    </w:p>
    <w:p>
      <w:pPr>
        <w:pStyle w:val="Heading2"/>
      </w:pPr>
      <w:r>
        <w:t>Erwägungen</w:t>
      </w:r>
    </w:p>
    <w:p>
      <w:r>
        <w:rPr>
          <w:b/>
        </w:rPr>
        <w:t>E. 1</w:t>
      </w:r>
    </w:p>
    <w:p>
      <w:r>
        <w:t>Die Beschwerde richtet sich gegen einen selbständig eröffneten Zwischenentscheid über den Ausstand ( Art. 92 BGG ) und die Beschwerde ist innert Frist eingereicht worden (der angefochtene Entscheid wurde am 21. März 2018 versandt und ging der Beschwerdeführerin nicht vor dem 22. März 2018 zu). Dass der Streitwert erreicht ist, kann daraus abgeleitet werden, dass das Handelsgericht des Kantons Aargau die Klage instruiert hat ( Art. 74 Abs. 1 lit. b BGG in Verbindung mit Art. 6 Abs. 2 lit. b ZPO ). Ob allerdings der kantonale Instanzenzug im Sinne von Art. 75 BGG ausgeschöpft ist, nachdem das Bundesrecht für Ausstandsbegehren keine einzige kantonale Instanz vorsieht und das Justizgericht als spezielles oberes kantonales Gericht (zuständig gemäss § 38 Abs. 1 lit. e GOG AG über Ausstandsbegehren gegen eine Abteilung des Obergerichts in ihrer Mehrheit oder Gesamtheit zu entscheiden) nicht als Rechtsmittelinstanz entschieden hat, erscheint fraglich. Die Frage kann aber ebenso offen bleiben, wie die Beurteilung, ob die Beschwerdeführerin gemäss Art. 76 BGG legitimiert ist, ob sie namentlich angesichts ihrer Anträge im kantonalen Verfahren ein schutzwürdiges Interesse an der Änderung des angefochtenen Entscheids hat. Denn auf die Beschwerde ist aus andern Gründen nicht einzutreten.</w:t>
      </w:r>
    </w:p>
    <w:p>
      <w:r>
        <w:rPr>
          <w:b/>
        </w:rPr>
        <w:t>E. 2</w:t>
      </w:r>
    </w:p>
    <w:p>
      <w:r>
        <w:t>Es seien sämtliche Gerichtsentscheide und sonstige Aktivitäten bei weiteren Entscheiden/Stellungnahmen des Handelsgerichts, an denen Dr. RA M. Fiechter in irgendeiner Form (als Ersatzrichter, stellvertretender Präsident oder Parteivertreter) mitgewirkt bzw. vertreten hat, offenzulegen.</w:t>
      </w:r>
    </w:p>
    <w:p>
      <w:r>
        <w:rPr>
          <w:b/>
        </w:rPr>
        <w:t>E. 2.1</w:t>
      </w:r>
    </w:p>
    <w:p>
      <w:r>
        <w:t>Die Beschwerdeanträge vor Bundesgericht lauten wie folgt: "1. Es sei das Urteil des Justizgerichts des Kantons Aargau vom 28. Februar 2018 insofern und teilweise aufzuheben, als dass das Handelsgericht angewiesen wird, einen Spruchkörper zu bestimmen, dem keine Fachrichterinnen und Fachrichter des Handelsgerichts angehören.</w:t>
      </w:r>
    </w:p>
    <w:p>
      <w:r>
        <w:rPr>
          <w:b/>
        </w:rPr>
        <w:t>E. 2.2</w:t>
      </w:r>
    </w:p>
    <w:p>
      <w:r>
        <w:t>Nach der verbindlichen Feststellung der Vorinstanz verlangte die Beschwerdeführerin vor Vorinstanz hauptsächlich die Verweisung der Streitsache an ein nicht vorbefasstes, unparteiisches und neutrales Gericht. Die Vorinstanz hat den Hauptantrag der Beschwerdeführerin in dem Sinne geschützt, als es die Sache an das Handelsgericht mit der Weisung zurückwies, einen Spruchkörper zu bestellen, in dem keine Fachrichter amten, weil diese nach der Organisation des Handelsgerichts dem selben Spruchkörper angehörten, wie der Anwalt der Gegenpartei als Ersatzrichter. Die Beschwerdeführerin hatte vor der Vorinstanz das Begehren gemäss Ziffer 2 als Eventualantrag (Ziffer 3) gestellt. Das Justizgericht hat nicht geprüft, ob die Anträge der Beschwerdeführerin insgesamt - namentlich auch der Eventualantrag in Ziffer 3 - allenfalls nach Treu und Glauben im Lichte der Begründung so ausgelegt werden könnten, dass die Durchsetzung des Verbots von § 24 Abs. 3 GOG AG verlangt werde, wonach der Anwalt der Gegenpartei sein Mandat in der vorliegenden Streitsache niederlegen müsse, weil er vor dem Spruchkörper nicht auftreten darf, dem er angehört. Die Vorinstanz hat vielmehr den Hauptantrag auf Überweisung der Streitsache an einen anderen Spruchkörper gutgeheissen und den Eventualantrag nicht geprüft. Die Beschwerdeführerin bringt auch in diesem Zusammenhang nicht vor, ihre Anträge seien rechtswidrig ausgelegt worden, wenn ihr Hauptantrag so verstanden wurde, dass die Streitsache an ein anderes Gericht zu überweisen sei. Wenn sie nun sinngemäss verlangt, der Verstoss gegen die Unabhängigkeit des Gerichts sei in der Weise zu beheben, dass der Ersatzrichter zu verpflichten sei, sein Mandat als Parteivertreter vor dem Spruchkörper niederzulegen, dem er angehört, ist ihr Begehren neu und unzulässig. Wenn die Beschwerdeführerin nun im bundesgerichtlichen Verfahren hauptsächlich beantragt, dass die Fachrichter, die demselben Spruchkörper wie der Anwalt der Gegenpartei angehören, nicht in den Ausstand treten hätten, so stellt sie ein anderes Begehren, als sie dies in ihrem Hauptantrag vor dem kantonalen Justizgericht getan hatte. Dieses Begehren ist neu; darauf kann nicht eingetreten werden.</w:t>
      </w:r>
    </w:p>
    <w:p>
      <w:r>
        <w:rPr>
          <w:b/>
        </w:rPr>
        <w:t>E. 3</w:t>
      </w:r>
    </w:p>
    <w:p>
      <w:r>
        <w:t>Beiläufig ist immerhin Folgendes zu bemerken. Das Justizgericht kommt zum Schluss, dass der Ersatzrichter demselben Spruchkörper angehört wie die Fachrichter des Handelsgerichts, die von Gesetzes wegen in jedem Streitfall vor Handelsgericht beizuziehen sind. Das Justizgericht stellt damit fest, dass der Ersatzrichter vor Handelsgericht dem Spruchkörper angehört, vor dem er gemäss § 24 Abs. 3 GOG AG nicht als Vertreter einer Partei auftreten darf. Es versteht sich von selbst, dass sich der Richter von sich aus an dieses gesetzliche Verbot halten muss, ebenso wie jeder Richter verpflichtet ist, sich auch ohne Antrag einer Partei in den Ausstand zu begeben, wenn er einen Grund erkennt, der den Anschein der Befangenheit begründet. Der Ersatzrichter ist nach § 24 Abs. 3 GOG AG verpflichtet, die Übernahme eines Mandats abzulehnen bzw. ein übernommenes Mandat niederzulegen, wenn der Spruchkörper, dem er angehört, zur Entscheidung des Streitfalles zuständig ist. Missachtet der Ersatzrichter dieses gesetzliche Verbot, so obliegt dem Gericht, dem er angehört, auch ohne ausdrückliche gesetzliche Regelung, für die Einhaltung der Ausstandsvorschriften zu sorgen, wie dies nach der Stellungnahme des Handelsgericht an das Justizgericht bis vor wenigen Jahren denn auch der Fall war. Jedenfalls ist nicht nachvollziehbar, dass eine Ausnahmeregelung getroffen werden soll, wenn die gesetzliche Regelung zu Verhinderung der Befangenheit nicht eingehalten wird. Denn Gerichte, die eigens für die Beurteilung einer Angelegenheit gebildet werden, sind gemäss Art. 30 Abs. 1 BV grundsätzlich unzulässig (Urteil 1B_517/2017 vom 13. März 2018 E. 5.1. zur Publikation vorgesehen, BGE 144 I 37 E. 2.1 ; 137 I 340 E. 2.2.1).</w:t>
      </w:r>
    </w:p>
    <w:p>
      <w:r>
        <w:rPr>
          <w:b/>
        </w:rPr>
        <w:t>E. 4</w:t>
      </w:r>
    </w:p>
    <w:p>
      <w:r>
        <w:t>Auf die Beschwerde ist nicht einzutreten. Bei diesem Ausgang des Verfahrens sind die Gerichtskosten der Beschwerdeführerin zu auferlegen. Da keine Vernehmlassungen eingeholt wurden, sind den anderen Verfahrensbeteiligten keine Parteikosten erwachsen.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