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263/2016 vom 20. September 2016</w:t>
      </w:r>
    </w:p>
    <w:p>
      <w:r>
        <w:t>Bundesgericht, 2016-09-20, DE</w:t>
      </w:r>
    </w:p>
    <w:p>
      <w:r>
        <w:rPr>
          <w:b/>
        </w:rPr>
        <w:t xml:space="preserve">Quelle: </w:t>
      </w:r>
      <w:r>
        <w:t>https://mcp.opencaselaw.ch/entscheid/bger_4A_263_2016</w:t>
      </w:r>
    </w:p>
    <w:p>
      <w:r>
        <w:t>FR: TF 4A 263/2016 du 20 septembre 2016</w:t>
      </w:r>
    </w:p>
    <w:p>
      <w:r>
        <w:t>IT: TF 4A 263/2016 del 20 settembre 2016</w:t>
      </w:r>
    </w:p>
    <w:p>
      <w:pPr>
        <w:pStyle w:val="Heading2"/>
      </w:pPr>
      <w:r>
        <w:t>Regeste</w:t>
      </w:r>
    </w:p>
    <w:p>
      <w:r>
        <w:t>Ausstandsgesuch (vorsorgliche Beweisführung), | Haftpflichtrecht</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Beim angefochtenen Entscheid des Kantonsgerichts handelt es sich um einen selbständig eröffneten Zwischenentscheid über ein Ausstandsbegehren ( Art. 92 Abs. 1 BGG ).</w:t>
      </w:r>
    </w:p>
    <w:p>
      <w:r>
        <w:rPr>
          <w:b/>
        </w:rPr>
        <w:t>E. 1.2</w:t>
      </w:r>
    </w:p>
    <w:p>
      <w:r>
        <w:t>Nach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 bis c BGG vor. Eine allgemeine Ausnahme vom Erfordernis der double instance für Zwischenentscheide besteht nicht. Vorbehalten bleibt nur der Fall, in dem ein oberes kantonales Gericht mit einem Rechtsmittelverfahren befasst ist und in diesem Rahmen einen Zwischenentscheid fällt (z.B. über den Ausstand eines Mitglieds des oberen Gerichts) : Diesfalls ist die direkte Beschwerde an das Bundesgericht bei im Übrigen gegebenen Voraussetzungen zulässig ( BGE 138 III 41 E. 1.1; 137 III 424 E. 2.2). Mit einem übergangsrechtlichen Vorbehalt in Art. 130 Abs. 2 BGG gab der Bundesgesetzgeber den Kantonen bis zum Inkrafttreten der schweizerischen Zivilprozessordnung Zeit, ihr Rechtsmittelsystem den Anforderungen des seit 1. Januar 2007 gültigen BGG anzupassen. Die ZPO ist am 1. Januar 2011 in Kraft getreten und auf diesen Zeitpunkt wurde Art. 130 Abs. 2 BGG aufgehoben. Das bedeutet, dass Urteile einziger kantonaler Instanzen, die bis zum 31. Dezember 2010 eröffnet wurden, aufgrund des Vorbehalts von Art. 130 Abs. 2 BGG noch direkt beim Bundesgericht angefochten werden konnten, während für die seit dem 1. Januar 2011 eröffneten Urteile die Anforderungen gemäss Art. 75 Abs. 2 BGG vollumfänglich gelten ( BGE 137 III 127 E. 1 S. 128 f.; 137 III 424 E. 2.1 S. 426; 139 III 252 E. 1.6 S. 255; Urteile 5A_266/2011 vom 24. Oktober 2011 E. 1; 4A_546/2013 vom 13. März 2014 E. 3.1.2).</w:t>
      </w:r>
    </w:p>
    <w:p>
      <w:r>
        <w:rPr>
          <w:b/>
        </w:rPr>
        <w:t>E. 1.3</w:t>
      </w:r>
    </w:p>
    <w:p>
      <w:r>
        <w:t>Gemäss § 38 Abs. 1 lit. a bis Ziff. 1 GOG/BL entscheidet der in der Hauptsache zuständige Spruchkörper der jeweiligen Abteilung des Kantonsgerichts, wenn der Ausstand des ganzen Spruchkörpers eines erstinstanzlichen Gerichts in Frage steht. Gestützt auf diese kantonalrechtliche Norm hat sich die Vorinstanz im hier angefochtenen Entscheid zur Beurteilung des Ausstandsgesuchs gegen sämtliche Richter des Zivilgerichts Basel-Landschaft Ost für funktionell zuständig erklärt (vgl. E. 1 des angefochtenen Entscheids). Damit hat sie das Ausstandsgesuch zwar als oberes kantonales Gericht, nicht aber als Rechtsmittelinstanz, sondern als erste und einzige kantonale Instanz beurteilt. Eine Ausnahme vom Grundsatz der double instance nach Art. 75 Abs. 2 lit. a - c BGG ist vorliegend indessen nicht gegeben; ebensowenig liegt ein übergangsrechtlicher Fall vor, in dem die Beschwerde in Zivilsachen gegen eine einzige kantonale Instanz noch zulässig wäre. Entgegen der Rechtsmittelbelehrung ist der vorinstanzliche Entscheid somit nicht mit Beschwerde in Zivilsachen beim Bundesgericht anfechtbar.</w:t>
      </w:r>
    </w:p>
    <w:p>
      <w:r>
        <w:rPr>
          <w:b/>
        </w:rPr>
        <w:t>E. 1.4</w:t>
      </w:r>
    </w:p>
    <w:p>
      <w:r>
        <w:t>Vielmehr ist der Kanton Basel-Landschaft verpflichtet, einen oberinstanzlichen Spruchkörper zu bezeichnen, bei dem der Ausstandsentscheid des Kantonsgerichts mit kantonaler Beschwerde ( Art. 50 Abs. 2 ZPO i.V.m. Art. 319 ff. ZPO ) angefochten werden kann, um den Anforderungen des BGG gerecht zu werden ( BGE 139 III 252 E. 1.6 S. 256; Urteile 5A_161/2015 vom 6. August 2015 E. 4; 4A_546/2013 vom 13. März 2014 E. 4). Nach konstanter Praxis des Bundesgerichtes gehen die Akten daher zur weiteren Behandlung an das Kantonsgericht zurück ( BGE 139 III 252 E. 1.6 S. 256; Urteile 5A_161/2015 vom 6. August 2015 E. 4; 5A_266/2011 vom 24. Oktober 2011 E. 2; 4A_546/2013 vom 13. März 2014 E. 4), zumal vorliegend bereits der Schriftenwechsel durchgeführt ist, in dessen Rahmen sich die Parteien umfassend in der Sache geäussert haben (vgl. auch Urteil 5A_161/2015 vom 6. August 2015 E. 4). Zwar ist der Kanton und nicht das Gericht selbst verpflichtet, einen entsprechenden Spruchkörper zu schaffen bzw. zu bezeichnen, bei dem der Ausstandsentscheid mit kantonaler Beschwerde angefochten werden kann (vgl. Urteile 5A_161/2015 vom 6. August 2015 E. 4; 4A_546/2013 vom 13. März 2014 E. 4); praktisch lässt sich dies aber, soweit bereits das Kantonsgericht als Erstinstanz geurteilt hat, nicht anders handhaben, als dass das Kantonsgericht in anderer Besetzung die Rechtsmitteleingabe beurteilt und einen zweitinstanzlichen Entscheid fällt (Urteil 5A_161/2015 vom 6. August 2015 E. 4; zur Lösung im Kanton Zürich vgl. Urteil 5A_448/2012 vom 17. Januar 2013).</w:t>
      </w:r>
    </w:p>
    <w:p>
      <w:r>
        <w:rPr>
          <w:b/>
        </w:rPr>
        <w:t>E. 2</w:t>
      </w:r>
    </w:p>
    <w:p>
      <w:r>
        <w:t>Es rechtfertigt sich, keine Gerichtskosten zu erheben; die Parteien sind für den fehlerhaften Verfahrensablauf, insbesondere die unrichtige Rechtsmittelbelehrung im angefochtenen Entscheid, nicht verantwortlich und dem Gemeinwesen werden keine Kosten auferlegt ( Art. 66 Abs. 4 BGG ). Den Parteien entsteht durch die Weiterleitung kein zusätzlicher Aufwand und die Parteikosten sind im Rahmen des zweitinstanzlichen Entscheids zu liquidieren.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