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4A_263/2014 vom 13. Januar 2015</w:t>
      </w:r>
    </w:p>
    <w:p>
      <w:r>
        <w:t>Bundesgericht, 2015-01-13, IT</w:t>
      </w:r>
    </w:p>
    <w:p>
      <w:r>
        <w:rPr>
          <w:b/>
        </w:rPr>
        <w:t xml:space="preserve">Quelle: </w:t>
      </w:r>
      <w:r>
        <w:t>https://mcp.opencaselaw.ch/entscheid/bger_4A_263_2014</w:t>
      </w:r>
    </w:p>
    <w:p>
      <w:r>
        <w:t>FR: TF 4A_263/2014 du 13 janvier 2015</w:t>
      </w:r>
    </w:p>
    <w:p>
      <w:r>
        <w:t>IT: TF 4A_263/2014 del 13 gennaio 2015</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(art. 75LTF) in una causa civile ( art. 72 cpv. 1 LTF ) con un valore litigioso superiore a fr. 30'000.-- ( art. 74 cpv. 1 lett. b LTF ). Il ricorrente non quantifica la propria domanda di riforma del giudizio cantonale, contravvenendo di per sé all' art. 42 cpv. 1 LTF . L'omissione non pregiudica tuttavia l'ammissibilità del ricorso in materia civile poiché, nella seconda richiesta di giudizio del gravame, il ricorrente chiede l'accoglimento del proprio appello, le cui domande sono state riprese nella motivazione della sentenza impugnata, ed è quindi desumibile la sua volontà di postulare la condanna dell'opponente al pagamento di Euro 60'701.55 ( DTF 137 III 617 consid. 6.2 pag. 621 seg.).</w:t>
      </w:r>
    </w:p>
    <w:p>
      <w:r>
        <w:t>Il ricorso sussidiario in materia costituzionale è invece improponibile d'entrata ( art. 113 LTF ).</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chesignifica arbitrario ( DTF 137 III 226 consid. 4.2 con rinvii; 133 II 249 consid. 1.2.2) - il ricorrente deve sollevare la censura e motivarla in modo preciso, come esige l' art. 106 cpv. 2 LTF ( DTF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dell'inammissibilità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133 IV 286 consid. 1.4; 129 I 8 consid. 2.1).</w:t>
      </w:r>
    </w:p>
    <w:p>
      <w:r>
        <w:rPr>
          <w:b/>
        </w:rPr>
        <w:t>E. 3</w:t>
      </w:r>
    </w:p>
    <w:p>
      <w:r>
        <w:t>La Corte cantonale ha costatato che agli atti vi sono un</w:t>
      </w:r>
    </w:p>
    <w:p>
      <w:r>
        <w:t>Parere tecnico su firme e nome A.________ e C.________ prodotto dall'attore e un</w:t>
      </w:r>
    </w:p>
    <w:p>
      <w:r>
        <w:t>Preavviso di perizia calligrafica di firme allestito dalla Polizia scientifica, su richiesta del Ministero pubblico, nell'ambito del procedimento penale, poi abbandonato, a carico di un dipendente della convenuta e di un gestore patrimoniale esterno dell'attore. Il primo documento è stato definito di parte. I giudici cantonali si sono invece soffermati sul secondo, nel quale si legge, a mo' di conclusione, che " Gli accertamenti tecnici intrapresi sostengono l'ipotesi secondo la quale le firme apposte sulla fiche di prelevamento datata del 2 giugno 1999 sono state falsificate ". Pur riconoscendo a questo referto un " valore probatorio accresciuto ", la Corte cantonale ha considerato che non si tratta di una " prova certa ", poiché vi è formulata solo un'ipotesi; oltretutto, hanno aggiunto, la parte convenuta, che non era parte nel procedimento penale, non ha potuto partecipare all'assunzione della prova.</w:t>
      </w:r>
    </w:p>
    <w:p>
      <w:r>
        <w:t>Il ricorrente contesta la valutazione di questa prova da parte dell'autorità cantonale. A parer suo il termine " ipotesi " starebbe a significare che la verifica calligrafica ha confermato "l a tesi/ipotesi avanzata dall'attore ". La perizia non avrebbe perciò " carattere indiziario "; proverebbe invece in modo decisivo la falsità delle firme.</w:t>
      </w:r>
    </w:p>
    <w:p>
      <w:r>
        <w:t>Questa critica è espressa in modo appellatorio. Il ricorrente non adduce né motiva l'errore manifesto o l'arbitrio; si limita a contrapporre la propria interpretazione a quella dell'autorità cantonale, rinviando peraltro anche a quanto egli avrebbe esposto in sede di appello. Per di più egli non si confronta con l'argomentazione dell'autorità cantonale secondo la quale la parte convenuta non ha potuto partecipare all'assunzione della prova peritale.</w:t>
      </w:r>
    </w:p>
    <w:p>
      <w:r>
        <w:t>Ne viene l'inammissibilità della censura volta contro l'apprezzamento della perizia calligrafica.</w:t>
      </w:r>
    </w:p>
    <w:p>
      <w:r>
        <w:rPr>
          <w:b/>
        </w:rPr>
        <w:t>E. 4</w:t>
      </w:r>
    </w:p>
    <w:p>
      <w:r>
        <w:t>La Corte ticinese ha accertato che il ricorrente, sebbene avesse chiesto e ottenuto la documentazione completa concernente i movimenti del suo conto una prima volta nell'aprile 2002 poi ancora all'inizio del 2006, ha mosso le prime contestazioni soltanto nel 2008; ha in seguito stabilito che tale silenzio, durato sei anni, è " indiziante di correttezza e accettazione " e che le " rimostranze sollevate dopo un così lungo periodo violano il principio della buona fede e non possono essere accolte ".</w:t>
      </w:r>
    </w:p>
    <w:p>
      <w:r>
        <w:t>Il ricorrente censura anche questa parte del giudizio, in fatto e diritto. Non è tuttavia necessario esaminare queste contestazioni. S'è detto che secondo gli accertamenti della sentenza cantonale commentati sopra, che rimangono vincolanti ( art. 105 cpv. 1 LTF ), il ricorrente non ha provato la falsificazione delle due firme sulla ricevuta bancaria. La sua azione andava perciò respinta a prescindere dall'argomentazione aggiuntiva della sentenza impugnata.</w:t>
      </w:r>
    </w:p>
    <w:p>
      <w:r>
        <w:rPr>
          <w:b/>
        </w:rPr>
        <w:t>E. 5</w:t>
      </w:r>
    </w:p>
    <w:p>
      <w:r>
        <w:t>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