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4A_263/2009 vom 30. September 2009</w:t>
      </w:r>
    </w:p>
    <w:p>
      <w:r>
        <w:t>Bundesgericht, 2009-09-30, DE</w:t>
      </w:r>
    </w:p>
    <w:p>
      <w:r>
        <w:rPr>
          <w:b/>
        </w:rPr>
        <w:t xml:space="preserve">Quelle: </w:t>
      </w:r>
      <w:r>
        <w:t>https://mcp.opencaselaw.ch/entscheid/bger_4A_263_2009</w:t>
      </w:r>
    </w:p>
    <w:p>
      <w:r>
        <w:t>FR: TF 4A_263/2009 du 30 septembre 2009</w:t>
      </w:r>
    </w:p>
    <w:p>
      <w:r>
        <w:t>IT: TF 4A_263/2009 del 30 settembre 2009</w:t>
      </w:r>
    </w:p>
    <w:p>
      <w:pPr>
        <w:pStyle w:val="Heading2"/>
      </w:pPr>
      <w:r>
        <w:t>Erwägungen</w:t>
      </w:r>
    </w:p>
    <w:p>
      <w:r>
        <w:rPr>
          <w:b/>
        </w:rPr>
        <w:t>E. 1.1</w:t>
      </w:r>
    </w:p>
    <w:p>
      <w:r>
        <w:t>Nach Art. 100 Abs. 6 BGG beginnt die Beschwerdefrist, wenn der Entscheid eines oberen kantonalen Gerichts mit einem Rechtsmittel, das nicht alle Rügen nach den Artikeln 95-98 zulässt, bei einer zusätzlichen kantonalen Gerichtsinstanz angefochten worden ist, erst mit der Eröffnung des Entscheids dieser Instanz ( BGE 134 III 92 E. 1.1 S. 93 f.). Die innert 30 Tagen seit Eröffnung des Kassationsgerichtsentscheids eingereichte Beschwerde gegen das Urteil des Handelsgerichts ist damit rechtzeitig erfolgt.</w:t>
      </w:r>
    </w:p>
    <w:p>
      <w:r>
        <w:rPr>
          <w:b/>
        </w:rPr>
        <w:t>E. 1.2</w:t>
      </w:r>
    </w:p>
    <w:p>
      <w:r>
        <w:t>Die Beschwerde ist zulässig gegen Entscheide letzter kantonaler Instanzen und des Bundesverwaltungsgerichts ( Art. 75 Abs. 1 BGG ). Die Letztinstanzlichkeit setzt bezüglich der vor Bundesgericht vorgebrachten Rügen die Ausschöpfung des kantonalen Instanzenzugs voraus ( BGE 134 III 524 E. 1.3 S. 527). Verzichtet ein Beschwerdeführer darauf, in seiner kantonalen Nichtigkeitsbeschwerde zulässige Rügen zu erheben, kann er sie im bundesgerichtlichen Verfahren mangels Letztinstanzlichkeit nicht mehr vorbringen.</w:t>
      </w:r>
    </w:p>
    <w:p>
      <w:r>
        <w:t>Das St. Galler Zivilprozessgesetz vom 20. Dezember 1990 (ZPO/SG) nennt als Nichtigkeitsgründe (a) die Verletzungen des kantonalen Rechts und (b) tatsächliche Feststellungen, die dem Inhalt der Akten offensichtlich widersprechen oder sonst willkürlich sind ( Art. 239 Abs. 1 ZPO /SG).</w:t>
      </w:r>
    </w:p>
    <w:p>
      <w:r>
        <w:rPr>
          <w:b/>
        </w:rPr>
        <w:t>E. 2.1</w:t>
      </w:r>
    </w:p>
    <w:p>
      <w:r>
        <w:t>Das Handelsgericht erwog, bei den umstrittenen Leistungen habe es sich im Wesentlichen nicht um Standard-Hard- und Software, sondern um individuell gemäss den Bedürfnissen der Beschwerdeführerin resp. deren Kunden hergestellte Hardwarekomponenten und Steuerungsprogramme gehandelt. Deshalb seien die Vertragsverhältnisse zwischen den Parteien als Werkverträge und nicht als gemischte Verträge, bestehend aus Elementen des Kauf- und Werkvertrages, zu qualifizieren.</w:t>
      </w:r>
    </w:p>
    <w:p>
      <w:r>
        <w:rPr>
          <w:b/>
        </w:rPr>
        <w:t>E. 2.2</w:t>
      </w:r>
    </w:p>
    <w:p>
      <w:r>
        <w:t>Die Beschwerdeführerin rügt, die Feststellung, es handle sich nicht um Standard-Hardware, widerspreche auf krasse Art und Weise den tatsächlichen Verhältnissen und sei damit gemäss Art. 97 BGG als offensichtlich unrichtig zu korrigieren.</w:t>
      </w:r>
    </w:p>
    <w:p>
      <w:r>
        <w:rPr>
          <w:b/>
        </w:rPr>
        <w:t>E. 2.3</w:t>
      </w:r>
    </w:p>
    <w:p>
      <w:r>
        <w:t>Die Beschwerdeführerin zeigt nicht auf, dass sie diese Sachverhaltsrüge gemäss Art. 239 Abs. 1 lit. b ZPO /SG mit Nichtigkeitsbeschwerde erhoben und das Kassationsgericht sie zu Unrecht abgewiesen hat. Auf diese Rüge ist daher mangels Letztinstanzlichkeit nicht einzutreten. Im Übrigen wäre sie ungenügend begründet, weil die Beschwerdeführerin bloss behauptet, aus den Offerten der Beschwerdegegnerin sei ersichtlich, dass es sich bei der Hardware um Standardhardware und bei der Waage ebenfalls um ein [Standard] Hardwareprodukt handle, ohne zu erläutern, weshalb eine abweichende Würdigung unhaltbar sein soll (vgl. BGE 133 II 249 E. 1.4.3 S. 254 f.; 133 III 462 E. 2.4 S. 466 f.). Dass das Handelsgericht, ausgehend vom festgestellten Sachverhalt, den Vertrag bundesrechtswidrig qualifiziert hätte, macht die Beschwerdeführerin nicht geltend.</w:t>
      </w:r>
    </w:p>
    <w:p>
      <w:r>
        <w:rPr>
          <w:b/>
        </w:rPr>
        <w:t>E. 3.1</w:t>
      </w:r>
    </w:p>
    <w:p>
      <w:r>
        <w:t>Das Handelsgericht erwog, die Beschwerdeführerin habe betreffend das Projekt in Neuseeland behauptet, aufgrund der mangelhaften Vertragserfüllung der Beschwerdegegnerin habe die Anlage nicht funktioniert. Ob die diesbezüglichen sehr allgemein gehaltenen Mängelrügen als genügend zu betrachten seien, könne offen bleiben, da die Beschwerdeführerin den Minderungsanspruch in Bezug auf das Projekt in Neuseeland der Höhe nach überhaupt nicht substanziiere. Daran vermöge auch der pauschale Hinweis auf eine Expertise nichts zu ändern, zumal die Beschwerdeführerin die Expertisen jeweils nur für die von ihr behaupteten Mängel und deren Ursachen, nicht jedoch für die Höhe des Minderungsanspruches offeriere.</w:t>
      </w:r>
    </w:p>
    <w:p>
      <w:r>
        <w:t>Betreffend die in der Prozesseingabe vom 19. Oktober 2006 gestützt auf einen Vergleich geltend gemachte Verrechnungsforderung führte das Handelsgericht aus, auch wenn danach ein Teil der Vergleichssumme für die Behebung der Mängel betreffend "Automatisierung und Elektrisch" bestimmt gewesen sein sollte, handle es sich hierbei lediglich um eine Parteivereinbarung zwischen den am Vergleich beteiligten Personen. Der Vergleich entfalte jedoch keine Drittwirkung auf daran nicht beteiligte Personen und entbinde die Beschwerdeführerin als Zessionarin der Forderung aus Gewährleistung nicht vom Nachweis, dass der angegebene Betrag von rund NZD 195'000.-- tatsächlich Kosten für die Behebung der von der Beschwerdegegnerin zu verantwortende Mängel betreffe, was von ihr bestritten werde. Ferner liefere die Beschwerdeführerin, welche für diese Verrechnungsforderung beweispflichtig sei, hierfür keine weiteren Beweise. Die Verrechnungsforderung sei damit - unabhängig von der Zulässigkeit der nachträglichen Eingabe - abzuweisen.</w:t>
      </w:r>
    </w:p>
    <w:p>
      <w:r>
        <w:rPr>
          <w:b/>
        </w:rPr>
        <w:t>E. 3.2</w:t>
      </w:r>
    </w:p>
    <w:p>
      <w:r>
        <w:t>Vor dem Kassationsgericht rügte die Beschwerdeführerin, das Handelsgericht habe eine verlangte Expertise in willkürlicher antizipierter Beweiswürdigung abgelehnt. Das Kassationsgericht kam zum Ergebnis, das Handelsgericht habe keine antizipierter Beweiswürdigung vorgenommen. Vor Bundesgericht macht die Beschwerdeführerin erneut geltend, die Erwägungen des Handelsgerichts stellten eine antizipierte Beweiswürdigung dar.</w:t>
      </w:r>
    </w:p>
    <w:p>
      <w:r>
        <w:rPr>
          <w:b/>
        </w:rPr>
        <w:t>E. 3.3</w:t>
      </w:r>
    </w:p>
    <w:p>
      <w:r>
        <w:t>Eine antizipierte Beweiswürdigung liegt vor, wenn das Sachgericht von beantragten Beweiserhebungen absieht,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 f. mit Hinweisen).</w:t>
      </w:r>
    </w:p>
    <w:p>
      <w:r>
        <w:rPr>
          <w:b/>
        </w:rPr>
        <w:t>E. 3.4</w:t>
      </w:r>
    </w:p>
    <w:p>
      <w:r>
        <w:t>Das Handelsgericht hat die angebotenen Beweise nicht mangels Tauglichkeit nicht abgenommen, sonders mangels hinrechender Sachvorbringen. Das Kassationsgericht nahm daher zur Recht an, das Handelsgericht habe keine Beweise antizipiert gewürdigt, weshalb die dagegen gerichtete Rüge der Beschwerdeführerin gegenstandslos ist.</w:t>
      </w:r>
    </w:p>
    <w:p>
      <w:r>
        <w:rPr>
          <w:b/>
        </w:rPr>
        <w:t>E. 3.5</w:t>
      </w:r>
    </w:p>
    <w:p>
      <w:r>
        <w:t>Alsdann macht die Beschwerdeführerin geltend, das Handelsgericht habe zu Unrecht eine ungenügende Substanziierung der verrechnungsweise geltend gemachten Gewährleistungsforderung angenommen. Da beim Abschluss des erstinstanzlichen Schriftenwechsels am 30. März 2006 noch nicht festgestanden habe, wie der Prozess zwischen der XV.________ AG und der Z.________ Ltd. ausgehen werde, hätten die entsprechenden Beweisanträge und Rügen gar nicht oder nur unvollständig gestellt werden können. Nachdem der Vergleich am 10. Oktober 2006 verbindlich geworden sei, habe die Beschwerdeführerin am 19. Oktober 2006 fristgerecht eine nachträgliche Prozesseingabe eingereicht. Darin werde die Verrechnungsforderung in der Höhe von NZD 195'333.-- substanziiert, indem die Stundenaufwände der Z.________ Ltd. für die Behebung der Mängel angeführt würden. Unabhängig davon seien in der Klageantwort betreffend die von der Beschwerdegegnerin hergestellte Software sowie in der Duplik bezüglich der mangelhaften Steuerung Expertisen beantragt worden. Diese hätten zur Aufgabe gehabt, abzuklären, ob Mängel am "Elektrischen und der Automatisierung" bestanden und wo die Ursachen der Mängel gelegen haben. Ferner hätte sich die Expertise über die Höhe des Schadensbetrags äussern können. Zudem sei von grosser Wichtigkeit gewesen, den angerufenen Zeugen Z.________ über die festgestellten Mängel zu befragen. Die Anordnung und Durchführung einer Expertise sowie die Einvernahme des Zeugen Z.________ hätten eine Klärung des Sachverhalts bringen und die Überprüfung zulassen können, ob in rechtlicher Hinsicht eine uneigentliche Drittschadensliquidation vorliege.</w:t>
      </w:r>
    </w:p>
    <w:p>
      <w:r>
        <w:rPr>
          <w:b/>
        </w:rPr>
        <w:t>E. 3.6</w:t>
      </w:r>
    </w:p>
    <w:p>
      <w:r>
        <w:t>Wie weit die anspruchsbegründenden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mit Hinweisen). Auf welchem Weg ein subsumptionsfähiger Sachverhalt erlangt werden soll, bestimmt dagegen das kantonale Prozessrecht. Ihm bleibt die Regelung der Frage vorbehalten, in welcher Form und bis zu welchem Zeitpunkt die inhaltlich genügenden Sachvorbringen in das Verfahren einzuführen sind. Kantonales Prozessrecht entscheidet auch darüber, ob eine Ergänzung der Sachvorbringen aufgrund des Beweisverfahrens zulässig ist oder ob bereits die vorgängigen Behauptungen so konkret und detailliert sein müssen, dass das Beweisverfahren allein noch ihrer Überprüfung dient ( BGE 127 III 365 E. 2c; 108 II 337 E. 3; Urteil 4C.351/2000 vom 20. Juli 2001 E. 3c).</w:t>
      </w:r>
    </w:p>
    <w:p>
      <w:r>
        <w:rPr>
          <w:b/>
        </w:rPr>
        <w:t>E. 3.7</w:t>
      </w:r>
    </w:p>
    <w:p>
      <w:r>
        <w:t>Die Beschwerdeführerin macht nicht geltend, sie habe vor dem Kassationsgericht erfolglos gerügt, das Handelsgericht habe kantonales Prozessrecht willkürlich angewendet, indem es in den Rechtsschriften eine substanziierte Sachverhaltsdarstellung und entsprechende Beweisanträge verlangte und allgemeine Anträge auf Expertisen, Zeugenbefragungen oder den Beizug von Akten eines Parallelverfahrens nicht genügen liess. Demnach ist einzig zu prüfen, ob das Handelsgericht die bundesrechtlichen Anforderungen an die Substanziierung der Sachvorbringen überspannt hat. Die Beschwerdeführerin räumt selber ein, dass sie im Rahmen des Schriftenwechsels die tatsächlichen Grundlagen ihrer Minderungsforderung nur unvollständig dargelegt hat. Insoweit ist bundesrechtlich nicht zu beanstanden, dass das Handelsgericht dem Antrag auf Anordnung einer Expertise nicht stattgab. Soweit die Beschwerdeführerin vorbringt, sie habe in der nachträglichen Prozesseingabe vom 19. Oktober 2006 die Grundlagen der Minderungsforderung mit dem eingereichten Vergleich hinreichend klar geschildert, ist ihr entgegenzuhalten, dass diese Eingabe nach dem angefochtenen Urteil keine weiteren Beweisanträge enthält, was die Beschwerdeführerin nicht in Abrede stellt. Das Handelsgericht hat somit kein Bundesrecht verletzt, wenn es mit Bezug auf die Vorbringen in dieser Eingabe mangels Beweisofferten kein Beweisverfahren durchführte. Ob mit der nachträglichen Eingabe eine hinreichende Substanziierung erfolgte, kann demnach offen bleiben.</w:t>
      </w:r>
    </w:p>
    <w:p>
      <w:r>
        <w:rPr>
          <w:b/>
        </w:rPr>
        <w:t>E. 4</w:t>
      </w:r>
    </w:p>
    <w:p>
      <w:r>
        <w:t>Nach dem Gesagten ist die Beschwerde abzuweisen, soweit darauf einzutreten ist. Bei diesem Ausgang des Verfahrens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