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262/2020 vom 23. Juni 2020</w:t>
      </w:r>
    </w:p>
    <w:p>
      <w:r>
        <w:t>Bundesgericht, 2020-06-23, FR</w:t>
      </w:r>
    </w:p>
    <w:p>
      <w:r>
        <w:rPr>
          <w:b/>
        </w:rPr>
        <w:t xml:space="preserve">Quelle: </w:t>
      </w:r>
      <w:r>
        <w:t>https://mcp.opencaselaw.ch/entscheid/bger_4A_262_2020</w:t>
      </w:r>
    </w:p>
    <w:p>
      <w:r>
        <w:t>FR: TF 4A 262/2020 du 23 juin 2020</w:t>
      </w:r>
    </w:p>
    <w:p>
      <w:r>
        <w:t>IT: TF 4A 262/2020 del 23 giugno 2020</w:t>
      </w:r>
    </w:p>
    <w:p>
      <w:pPr>
        <w:pStyle w:val="Heading2"/>
      </w:pPr>
      <w:r>
        <w:t>Regeste</w:t>
      </w:r>
    </w:p>
    <w:p>
      <w:r>
        <w:t>bail à loyer | Droit des contrats</w:t>
      </w:r>
    </w:p>
    <w:p>
      <w:pPr>
        <w:pStyle w:val="Heading2"/>
      </w:pPr>
      <w:r>
        <w:t>Erwägungen</w:t>
      </w:r>
    </w:p>
    <w:p>
      <w:r>
        <w:rPr>
          <w:b/>
        </w:rPr>
        <w:t>E. 1</w:t>
      </w:r>
    </w:p>
    <w:p>
      <w:r>
        <w:t>Dès le 16 décembre 2005, H.X.________ et F.X.________ ont pris à bail un magasin de 29 m² et deux dépôts de 5 et 6 m² au rez-de-chaussée d'un bâtiment du centre de Genève, afin d'y exploiter un commerce de chaussures. Le 28 novembre 2013, les locataires ont ouvert action contre la bailleresse Z.________ SA devant le Tribunal des baux et loyers du canton de Genève. Ils faisaient état de nuisances consécutives aux travaux exécutés dans le bâtiment par d'autres locataires; ils réclamaient notamment la réduction du loyer.</w:t>
      </w:r>
    </w:p>
    <w:p>
      <w:r>
        <w:rPr>
          <w:b/>
        </w:rPr>
        <w:t>E. 2</w:t>
      </w:r>
    </w:p>
    <w:p>
      <w:r>
        <w:t>Le tribunal a interrogé la demanderesse et divers témoins. Il s'est prononcé le 7 décembre 2018. Il a alloué une réduction du loyer de 10 % du 11 février au 30 juin 2013 et il a condamné la défenderesse à « restituer le trop-perçu ». La Chambre des baux et loyers de la Cour de justice a statué le 6 avril 2020 sur l'appel des demandeurs. Elle a confirmé le jugement.</w:t>
      </w:r>
    </w:p>
    <w:p>
      <w:r>
        <w:rPr>
          <w:b/>
        </w:rPr>
        <w:t>E. 3</w:t>
      </w:r>
    </w:p>
    <w:p>
      <w:r>
        <w:t>Les locataires exercent personnellement le recours en matière civile. Parmi d'autres conclusions, ils requièrent le Tribunal fédéral d'allouer une réduction du loyer de 50 % du 20 juin 2005 au 19 février 2018.</w:t>
      </w:r>
    </w:p>
    <w:p>
      <w:r>
        <w:rPr>
          <w:b/>
        </w:rPr>
        <w:t>E. 4</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 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dans la présente contestation. Les demandeurs protestent contre leur adverse partie et contre la Présidente du Tribunal des baux et loyers, à qui ils reprochent notamment d'avoir refusé d'interroger l'un des témoins au sujet de l'exécution de travaux de désamiantage dans le bâtiment. De toute évidence, une réponse affirmative de ce témoin n'eût pas suffi à établir l'exposition des demandeurs aux poussières d'amiante. Ils critiquent l'appréciation des preuves effectivement administrées et l'appréciation anticipée des autres preuves offertes. Leur exposé n'est que difficilement intelligible et de toute manière inapte à mettre en évidence des constatations de fait manifestement inexactes aux termes de l' art. 97 al. 1 LTF , ou une violation du droit à la preuve garanti par l' art. 29 al. 2 Cst. (cf. ATF 141 I 60 consid. 3.3 p. 64; 136 I 229 consid. 5.3 p. 236/237). Le recours en matière civile se révèle donc irrecevable faute d'une motivation suffisante.</w:t>
      </w:r>
    </w:p>
    <w:p>
      <w:r>
        <w:rPr>
          <w:b/>
        </w:rPr>
        <w:t>E. 5</w:t>
      </w:r>
    </w:p>
    <w:p>
      <w:r>
        <w:t>A titre de partie qui succombent, les demandeurs doivent acquitter l'émolument à percevoir par le Tribunal fédéral.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