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262/2007 vom 13. Februar 2008</w:t>
      </w:r>
    </w:p>
    <w:p>
      <w:r>
        <w:t>Bundesgericht, 2008-02-13, FR</w:t>
      </w:r>
    </w:p>
    <w:p>
      <w:r>
        <w:rPr>
          <w:b/>
        </w:rPr>
        <w:t xml:space="preserve">Quelle: </w:t>
      </w:r>
      <w:r>
        <w:t>https://mcp.opencaselaw.ch/entscheid/bger_4A_262_2007</w:t>
      </w:r>
    </w:p>
    <w:p>
      <w:r>
        <w:t>FR: TF 4A 262/2007 du 13 février 2008</w:t>
      </w:r>
    </w:p>
    <w:p>
      <w:r>
        <w:t>IT: TF 4A 262/2007 del 13 febbraio 2008</w:t>
      </w:r>
    </w:p>
    <w:p>
      <w:pPr>
        <w:pStyle w:val="Heading2"/>
      </w:pPr>
      <w:r>
        <w:t>Regeste</w:t>
      </w:r>
    </w:p>
    <w:p>
      <w:r>
        <w:t>contrat de travail | Droit des contrats</w:t>
      </w:r>
    </w:p>
    <w:p>
      <w:pPr>
        <w:pStyle w:val="Heading2"/>
      </w:pPr>
      <w:r>
        <w:t>Erwägungen</w:t>
      </w:r>
    </w:p>
    <w:p>
      <w:r>
        <w:rPr>
          <w:b/>
        </w:rPr>
        <w:t>E. 1</w:t>
      </w:r>
    </w:p>
    <w:p>
      <w:r>
        <w:t>Interjeté par la partie qui a pris part à la procédure devant l'autorité cantonale et qui a succombé dans ses conclusions libératoires ( art. 76 al. 1 LTF ) et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 Le recours en matière civile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de rang constitutionnel ou sur une question afférente au droit cantonal ou intercantonal si le grief n'a pas été invoqué et motivé de manière précise par la partie recourante ( art. 106 al. 2 LTF ). Le Tribunal fédéral ne peut aller au-delà des conclusions des parties ( art. 107 al. 1 LTF ). Toute conclusion nouvelle est irrecevable ( art. 99 al. 2 LTF ).</w:t>
      </w:r>
    </w:p>
    <w:p>
      <w:r>
        <w:rPr>
          <w:b/>
        </w:rPr>
        <w:t>E. 2.1</w:t>
      </w:r>
    </w:p>
    <w:p>
      <w:r>
        <w:t>La recourante fait d'abord grief à la Cour d'appel d'avoir abusé du pouvoir d'appréciation que lui conférait l'art. 196 de la loi de procédure civile genevoise du 10 avril 1987 en retenant que le demandeur avait travaillé à son service en 2002 et 2003. Elle soutient un peu plus loin, en se prévalant de l' art. 8 CC , qu'il appartenait à l'intimé de démontrer qu'il avait travaillé dans le restaurant susmentionné en 2001 et 2002.</w:t>
      </w:r>
    </w:p>
    <w:p>
      <w:r>
        <w:rPr>
          <w:b/>
        </w:rPr>
        <w:t>E. 2.2</w:t>
      </w:r>
    </w:p>
    <w:p>
      <w:r>
        <w:t>La défenderesse n'a jamais contesté avoir employé le demandeur en 2003. Elle s'est certainement trompée dans le libellé du premier volet de sa critique et a voulu s'en prendre à l'état de fait de la cour cantonale, duquel il ressort que l'intimé a travaillé pour le compte de la recourante en 2001 et 2002. Peu importe. En effet, la violation du droit cantonal alléguée ne constitue pas en tant que telle un motif du recours ordinaire (Markus Schott, Bundesgerichtsgesetz, Commentaire bâlois, n. 55 ad art. 95 LTF ). Et, à supposer que la recourante ait entendu se plaindre d'une application arbitraire de la norme évoquée, le moyen est irrecevable, faute d'une motivation conforme à l' art. 106 al. 2 LTF (cf. sur cette exigence de motivation ATF 133 II 249 consid. 1.4.2 p. 254). S'agissant du second pan du moyen, il suffit de relever que la cour cantonale, sur la base de l'appréciation des preuves administrées, a acquis la conviction que le demandeur avait été employé par la défenderesse pendant les années 2001 et 2002. Dans ces conditions, la question de la répartition du fardeau de la preuve réglée par l' art. 8 CC ne se pose plus ( ATF 129 III 271 consid. 2b/aa in fine).</w:t>
      </w:r>
    </w:p>
    <w:p>
      <w:r>
        <w:rPr>
          <w:b/>
        </w:rPr>
        <w:t>E. 3.1</w:t>
      </w:r>
    </w:p>
    <w:p>
      <w:r>
        <w:t>A suivre la recourante, l'autorité cantonale aurait apprécié arbitrairement les preuves en constatant que l'intimé a travaillé dans le restaurant entre 2001 et 2002. Elle aurait écarté de manière insoutenable les témoignages concordants et complets de D.________ et E.________ au seul prétexte que ces derniers travaillent toujours pour la défenderesse. La Cour d'appel aurait en revanche privilégié la déposition de B.________, alors que la cour cantonale elle-même a dit devoir la considérer avec réserve, et accordé un poids particulier à celle de C.________, qui a quitté la Suisse en janvier 2002, soit bien avant la fin de la période concernée.</w:t>
      </w:r>
    </w:p>
    <w:p>
      <w:r>
        <w:rPr>
          <w:b/>
        </w:rPr>
        <w:t>E. 3.2</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 249 consid. 1.4.3; 133 IV 150 consid. 1.3). La notion de faits qui ont été établis de façon manifestement inexacte, utilisée à l' art. 105 al. 2 LTF , correspond à celle d'arbitraire au sens de l' art. 9 Cst. (Message du Conseil fédéral concernant la révision totale de l'organisation judiciaire fédérale, FF 2001 p. 4135, ch. 4.1.4.2).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3.3</w:t>
      </w:r>
    </w:p>
    <w:p>
      <w:r>
        <w:t>Il résulte de la page 3 in fine du procès-verbal de l'audience d'audition de témoins tenue le 19 juin 2006 par le Tribunal des prudhommes que le témoin A.________ avait été entendu dans une autre procédure sous l'identité de G.________. Une copie de ce procès-verbal a été remise aux plaideurs, qui l'ont signé sans apposer la moindre remarque. La cour cantonale a déduit de cette circonstance que le témoignage de A.________ devait être considéré « avec une certaine réserve ». On ne voit pas où résiderait l'arbitraire en l'espèce. Lorsque la défenderesse prétend que c'est en réalité B.________ qui avait déposé précédemment sous une autre identité, elle présente une version des faits de procédure que rien ne vient étayer, au mépris de l' art. 106 al. 2 LTF . La recourante taxe encore d'arbitraire le fait que l'autorité cantonale a relativisé les déclarations de D.________ et E.________, parce qu'ils travaillent toujours pour la défenderesse. Il n'est évidemment pas indéfendable d'apprécier avec circonspection les dépositions émanant de deux employés d'une partie, étant donné le rapport de subordination dans lequel ils se trouvent avec leur employeur, susceptible d'influencer leurs déclarations. Certes C.________ n'a pas travaillé chez la défenderesse pendant l'entier des années 2001 et 2002, mais du 1er janvier 2001 au 30 janvier 2002. Il n'en demeure pas moins qu'il a attesté avoir été le collègue de l'intimé durant les treize mois précités, ce qui représente plus de la moitié de la période litigieuse. De toute manière, deux autres témoins, soit B.________ et F.________, ont affirmé de concert que le demandeur avait été employé par la recourante au cours des deux années en question. Il suit de là qu'il n'était pas arbitraire de donner plus de poids à ces dépositions qu'à celles des deux employés actuels de la défenderesse. Le moyen est infondé.</w:t>
      </w:r>
    </w:p>
    <w:p>
      <w:r>
        <w:rPr>
          <w:b/>
        </w:rPr>
        <w:t>E. 4</w:t>
      </w:r>
    </w:p>
    <w:p>
      <w:r>
        <w:t>En définitive, le recours doit être rejeté. La recourante, qui succombe, paiera des frais judiciaires, qu'il convient d'arrêter, vu que la valeur litigieuse ne dépassait pas 30'000 fr., à 1'000 fr. en application de l' art. 65 al. 4 let . c LTF. Elle versera en outre à l'intimé une indemnité à titre de dépens ( art. 68 al. 1 et 2 LTF ), qui sera fixée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