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4A_261/2017 vom 30. Oktober 2017</w:t>
      </w:r>
    </w:p>
    <w:p>
      <w:r>
        <w:t>Bundesgericht, 2017-10-30, DE</w:t>
      </w:r>
    </w:p>
    <w:p>
      <w:r>
        <w:rPr>
          <w:b/>
        </w:rPr>
        <w:t xml:space="preserve">Quelle: </w:t>
      </w:r>
      <w:r>
        <w:t>https://mcp.opencaselaw.ch/entscheid/bger_4A_261_2017</w:t>
      </w:r>
    </w:p>
    <w:p>
      <w:r>
        <w:t>FR: TF 4A_261/2017 du 30 octobre 2017</w:t>
      </w:r>
    </w:p>
    <w:p>
      <w:r>
        <w:t>IT: TF 4A_261/2017 del 30 ottobre 2017</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 Da auch die übrigen Sachurteilsvoraussetzungen erfüllt sind, ist auf die Beschwerde einzutreten, unter Vorbehalt einer hinlänglichen Begründung (Erwägung 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135 III 232 E. 1.2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w:t>
      </w:r>
    </w:p>
    <w:p>
      <w:r>
        <w:rPr>
          <w:b/>
        </w:rPr>
        <w:t>E. 3.1</w:t>
      </w:r>
    </w:p>
    <w:p>
      <w:r>
        <w:t>In rechtlicher Hinsicht ist unbestritten, dass auf den vorliegenden Streit das Übereinkommen vom 19. Mai 1956 über den Beförderungsvertrag im internationalen Strassengüterverkehr (CMR; SR 0.741.611) Anwendung findet. Gestützt auf dessen Art. 31 bejahte die Vorinstanz denn auch ihre Zuständigkeit am Ort der Übernahme des Guts.</w:t>
      </w:r>
    </w:p>
    <w:p>
      <w:r>
        <w:rPr>
          <w:b/>
        </w:rPr>
        <w:t>E. 3.2</w:t>
      </w:r>
    </w:p>
    <w:p>
      <w:r>
        <w:t>Gemäss Art. 25 Ziff. 1 CMR hat der Frachtführer bei Beschädigung des Frachtguts grundsätzlich den Betrag der Wertverminderung zu zahlen, welche der Differenz zwischen dem Wert des Guts bei der Übernahme und dem Wert infolge der Beschädigung entspricht. Dieser Schadensbegriff stimmt mit dem im schweizerischen innerstaatlichen Recht gebräuchlichen überein. Die Entschädigung wird nach dem Wert des Guts am Ort und zur Zeit der Übernahme zur Beförderung berechnet ( BGE 127 III 365 E. 2a mit Hinweisen).</w:t>
      </w:r>
    </w:p>
    <w:p>
      <w:r>
        <w:rPr>
          <w:b/>
        </w:rPr>
        <w:t>E. 3.3</w:t>
      </w:r>
    </w:p>
    <w:p>
      <w:r>
        <w:t>Die Vorinstanz wies die Klage mit der Begründung ab, die Beschwerdeführerin habe den Schaden im Hinblick auf die behaupteten Beschädigungen, den behaupteten Totalschaden und die entsprechende Schadenshöhe nicht hinreichend substanziiert. Die Beschwerdeführerin habe sich in der Replik weitgehend mit Pauschalverweisen auf ein Privatgutachten der I.________ AG und auf andere Beilagen begnügt.</w:t>
      </w:r>
    </w:p>
    <w:p>
      <w:r>
        <w:t>Was die behaupteten Beschädigungen der Ware betrifft, bemängelte die Vorinstanz das Fehlen einer "detailliertere[n] Darstellung welche Palette mit welchen Produkten welche Beschädigung aufwies". Auch das Privatgutachten, auf welches die Beschwerdeführerin pauschal verweise, begnüge sich mit der Schilderung eines generellen Schadenbilds. Sodann habe die Beschwerdeführerin nicht dargelegt, woraus sich ein Totalschaden ableite. Weder habe sie substanziiert behauptet, dass sämtliche Produkte von der behaupteten Beschädigung betroffen waren, noch habe sie vorgebracht, es sei branchenüblich, dass bei "solchen Vorfällen" die gesamte Fracht als nicht mehr marktfähig betrachtet werde. Auch hier genüge ein Pauschalverweis auf das Privatgutachten nicht, selbst wenn dieses den Schaden als Totalschaden bewerte. Mit Bezug auf die Schadenssumme führte die Vorinstanz aus, weder aus der Klage noch aus der Replik gehe hervor, wie sich der als Schaden geltend gemachte Warenwert zusammensetze. Die Beschwerdeführerin - so die Vorinstanz - hätte die Art und Anzahl beschädigter Produkte sowie deren Wert substanziiert auflisten müssen. Die fehlende Substanziierung betreffe schliesslich auch die behauptete Schadenersatzzahlung der D.________ AG an die C.________ AG. Die Beschwerdeführerin habe "nicht weiter ausgeführt, wann eine solche Zahlung überhaupt erfolgt sein soll, so dass darüber kein Beweis abgenommen werden kann".</w:t>
      </w:r>
    </w:p>
    <w:p>
      <w:r>
        <w:rPr>
          <w:b/>
        </w:rPr>
        <w:t>E. 4</w:t>
      </w:r>
    </w:p>
    <w:p>
      <w:r>
        <w:t>Die Beschwerdeführerin rügt eine Verletzung von Art. 29 Abs. 2 BV , Art. 8 ZGB und Art. 53 Abs. 1 ZPO .</w:t>
      </w:r>
    </w:p>
    <w:p>
      <w:r>
        <w:rPr>
          <w:b/>
        </w:rPr>
        <w:t>E. 4.1</w:t>
      </w:r>
    </w:p>
    <w:p>
      <w:r>
        <w:t>Sie meint, die Vorinstanz habe überhöhte Behauptungs- und Substanziierungsanforderungen gestellt. Dies habe in einer "formellen Rechtsverweigerung durch Verweigerung des rechtlichen Gehörs" resultiert.</w:t>
      </w:r>
    </w:p>
    <w:p>
      <w:r>
        <w:t>In Bezug auf die Substanziierung des Totalschadens bringt die Beschwerdeführerin zusammengefasst vor, sie habe ausreichend behauptet, woraus sich der Totalschaden ableite, indem sie ausgeführt habe, dass die transportierten Lebensmittel "gemäss Feststellung des Experten nicht mehr verkehrsfähig, nicht mehr verkäuflich und nicht mehr verzehrbar" gewesen seien. Sie habe dargelegt, dass selbst die Beschwerdegegnerin keine Verwertungsmöglichkeit mehr gesehen habe, dass auch die ausführende Frachtführerin betreffend die Frage des Totalschadens konsultiert worden sei und ein unabhängiges Sachverständigenbüro das Vorliegen eines Totalschadens bestätigt habe. Sodann habe sie an der Hauptverhandlung in noch zulässiger, präzisierender Weise vorgebracht, dass "bei Beschädigungen wie vorliegend Lebensmittel nicht nur branchenüblich, sondern sogar gemäss Lebensmittelgesetzgebung als nicht mehr marktgängig betrachtet werden". Ausserdem habe sie sich "keineswegs nur mit Pauschalverweisen begnügt".</w:t>
      </w:r>
    </w:p>
    <w:p>
      <w:r>
        <w:rPr>
          <w:b/>
        </w:rPr>
        <w:t>E. 4.2</w:t>
      </w:r>
    </w:p>
    <w:p>
      <w:r>
        <w:t>Übersteigen die Wiederherstellungskosten den ursprünglichen Wert des Guts, wird auch unter Herrschaft des CMR von einem Totalschaden ausgegangen ( BGE 127 III 365 E. 2a S. 367 mit Hinweisen). Dabei ist anerkannt, dass die Beschädigung eines Teils der Ware wirtschaftlich zu einer Beschädigung der gesamten Ladung führen kann. Im Schrifttum wird etwa das Beispiel genannt, in dem bei Schädigung eines Lebensmittels durch falsche Kühlung die erforderliche Aussortierung der Einzelstücke nicht mehr möglich ist, weil die Infizierung des gesunden Guts mit Fäulniserregern des beschädigten Guts nicht ausgeschlossen werden kann, oder die Aussortierung einen ganz erheblichen Aufwand bedeuten würde, der nicht mehr im Verhältnis zum eingetretenen Schaden steht; ferner etwa auch dann, wenn aufgrund der teilweisen Beschädigung bei einem grenzüberschreitenden Transport die Einfuhrerlaubnis für die ganze Ware verweigert wird und diese daher insgesamt unverkäuflich ist (siehe Glöckner, Leitfaden zur CMR, 7. Aufl. 1991, N. 5 zu Art. 17 CMR ; Herber/Piper, CMR, Internationales Strassentransportrecht, Kommentar, 1996, N. 7 zu Art. 17 CMR ; Thume, in: Kommentar zur CMR, Thume [Hrsg.], 3. Aufl. 2013, N. 79 zu Art. 17 CMR und N. 7 f. zu Art. 25 CMR ; je mit Hinweisen).</w:t>
      </w:r>
    </w:p>
    <w:p>
      <w:r>
        <w:rPr>
          <w:b/>
        </w:rPr>
        <w:t>E. 4.3</w:t>
      </w:r>
    </w:p>
    <w:p>
      <w:r>
        <w:t>Nach allgemeinen Grundsätzen hat auch im Anwendungsbereich des CMR die Schadenersatz beanspruchende Partei den Schaden zu beweisen ( BGE 127 III 365 E. 2b S. 368 mit Hinweisen). In Verfahren, die wie das vorliegende vom Verhandlungsgrundsatz beherrscht sind, tragen die Parteien die Verantwortung für die Beschaffung des Tatsachenstoffs. Sie haben alle Tatbestandselemente der materiellrechtlichen Normen zu behaupten, die den von ihnen anbegehrten Anspruch begründen (siehe Art. 55 ZPO ).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Urteile 4A_724/2016 vom 19. Juli 2017 E. 3.1; 4A_552/2015 vom 25. Mai 2016 E. 2.6; je mit Hinweisen). Ein globaler Verweis auf eingereichte Unterlagen genügt den Anforderungen an Behauptung und Substanziierung nicht (Urteile 4A_724/2016 vom 19. Juli 2017 E. 3.1; 4A_651/2015 vom 19. April 2016 E. 4.3; 4A_221/2015 vom 23. November 2015 E. 3.1, nicht publ. in: BGE 141 III 549 ; 4A_264/2015 vom 10. August 2015 E. 4.2.2).</w:t>
      </w:r>
    </w:p>
    <w:p>
      <w:r>
        <w:t>Der Grad der Substanziierung einer Behauptung beeinflusst den erforderlichen Grad an Substanziierung einer Bestreitung; je detaillierter einzelne Tatsachen eines gesamten Sachverhalts behauptet werden, desto konkreter muss die Gegenpartei erklären, welche dieser einzelnen Tatsachen sie bestreitet. Die Anforderungen an eine substanziierte Bestreitung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Urteil 4A_692/2015 vom 1. März 2017 E. 6.1.1, nicht publ. in: BGE 143 III 206 ).</w:t>
      </w:r>
    </w:p>
    <w:p>
      <w:r>
        <w:rPr>
          <w:b/>
        </w:rPr>
        <w:t>E. 4.4</w:t>
      </w:r>
    </w:p>
    <w:p>
      <w:r>
        <w:t>Die Beschwerdeführerin brachte vor dem Handelsgericht vor, es liege ein Totalschaden vor. Dieser bildet eine selbständige Voraussetzung des von ihr eingeklagten Anspruchs.</w:t>
      </w:r>
    </w:p>
    <w:p>
      <w:r>
        <w:t>Das Vorliegen eines Totalschadens wurde von der Beschwerdeführerin zwar in der Klageschrift pauschal behauptet, von der Beschwerdegegnerin aber rechtsgenüglich bestritten. Daran ändert auch nichts, dass sie dies nur mit Nichtwissen tat. Dies ist grundsätzlich zulässig (vgl. BGE 115 II 1 E. 4 S. 2; Urteil 5P.391/2006 und 5P.394/2006 vom 18. Dezember 2006 E. 3.2), zumal die Beschwerdeführerin nicht vorbringt, inwiefern eine detailliertere Bestreitung möglich gewesen wäre, und kann der Beschwerdegegnerin angesichts der vagen Ausführungen der Beschwerdeführerin zum Totalschaden in der Klageschrift nicht zum Vorwurf gereichen. Aus der Bestreitung der Beschwerdegegnerin ergibt sich klar, welche klägerische Behauptung infrage gestellt wird.</w:t>
      </w:r>
    </w:p>
    <w:p>
      <w:r>
        <w:t>Es oblag somit der Beschwerdeführerin, ihre vorerst pauschale Be-hauptung in Einzeltatsachen zu zergliedern und den vorgenannten Grundsätzen entsprechend darzulegen, woraus vorliegend ein Totalschaden resultierte (vgl. BGE 127 III 365 E. 2c S. 369).</w:t>
      </w:r>
    </w:p>
    <w:p>
      <w:r>
        <w:t>Entgegen der von der Beschwerdeführerin vertretenen Auffassung genügt zur Substanziierung des Totalschadens nicht, dass sie in der Replik ausführte, das Gutachten der I.________ AG, ein unabhängiges Sachverständigenbüro und die Beschwerdegegnerin selbst hätten das Vorliegen eines Totalschadens bestätigt. Wohl hat die Beschwerdeführerin in der Replik ausgeführt, dass die Ware "gemäss Feststellung des Experten nicht mehr verkehrsfähig, nicht mehr verkäuflich und nicht mehr verzehrbar" gewesen sei. Sie hätte aber, nachdem die Beschwerdegegnerin das Vorliegen eines Totalschadens bestritten hatte, substanziieren müssen, aus welchen Gründen die teilweise Beschädigung der Ware die Verkehrsfähigkeit der ganzen Ladung ausschloss und damit einem wirtschaftlichen Totalschaden gleichkam. Der blosse Verweis auf das Gutachten genügte den Substanziierungsanforderungen nicht, und zwar unabhängig davon, ob es sich dabei um ein Parteigutachten handelt, wie die Vorinstanz annahm, die Beschwerdeführerin aber bestreitet.</w:t>
      </w:r>
    </w:p>
    <w:p>
      <w:r>
        <w:t>Die Beschwerdeführerin wendet ein, sie habe an der Hauptverhandlung "ausführlich und zulässig ergänzt", dass bei einer Teilbeschädigung "wie vorliegend" die Verkehrsfähigkeit gestützt auf die Lebensmittelgesetzgebung der Europäischen Union ausgeschlossen sei. Diese Behauptung wurde - nachdem ein zweiter Schriftenwechsel durchgeführt worden war - in der Hauptverhandlung und damit verspätet vorgebracht (siehe Art. 229 ZPO ). Eine klägerische Behauptung, aus der sich ergibt, inwiefern die von ihr geltend gemachte teilweise Beschädigung einen wirtschaftlichen Totalschaden darstellt, ergibt sich aus Klage und Replik nicht. Es kann sich damit bei den Ausführungen, welche die Beschwerdeführerin anlässlich der Hauptverhandlung machte, nicht lediglich um die Präzisierung einer bereits vorgebrachten Behauptung handeln. Etwas Anderes ergibt sich auch nicht aus dem von der Beschwerdeführerin zitierten Schrifttum (siehe KILLIAS, in: Berner Kommentar, Schweizerische Zivilprozessordnung, Bd. II, 2012, N. 7 zu Art. 229 ZPO ; WILLISEGGER, in: Basler Kommentar, Schweizerische Zivilprozessordnung, 3. Aufl. 2017, N. 16 zu Art. 229 ZPO ).</w:t>
      </w:r>
    </w:p>
    <w:p>
      <w:r>
        <w:rPr>
          <w:b/>
        </w:rPr>
        <w:t>E. 4.5</w:t>
      </w:r>
    </w:p>
    <w:p>
      <w:r>
        <w:t>Die Vorinstanz stellte damit zu Recht fest, dass die Beschwerdeführerin nicht hervorbringe, woraus sich ein Totalschaden ableite. Der Vorwurf der überhöhten Substanziierungsanforderungen geht in diesem Punkt fehl.</w:t>
      </w:r>
    </w:p>
    <w:p>
      <w:r>
        <w:t>Unter diesen Umständen war die Vorinstanz nicht gehalten, über die klägerischen Behauptungen Beweis abzunehmen. Damit geht auch die Rüge, das rechtliche Gehör sei durch die unterbliebene Beweisabnahme verletzt worden, ins Leere (vgl. Urteil 4D_24/2016 vom 28. Juli 2016 E. 4.8).</w:t>
      </w:r>
    </w:p>
    <w:p>
      <w:r>
        <w:t>In diesem Zusammenhang vermag die Beschwerdeführerin auch keine Verletzung der gerichtlichen Fragepflicht im Sinne von Art. 56 ZPO aufzuzeigen (siehe Erwägung 2.1), zumal dieser bei anwaltlich vertretenen Personen nur eine sehr eingeschränkte Bedeutung zukommt (Urteil 4A_628/2016 vom 20. Dezember 2016 E. 4.2.3 mit Hinweisen).</w:t>
      </w:r>
    </w:p>
    <w:p>
      <w:r>
        <w:t>Ungenügend begründet ist schliesslich die Rüge der Beschwerdeführerin, die Vorinstanz hätte ihr "eine Frist zur Stellungnahme zu derartigen neuen Tatsachenfeststellungen der Duplik" ansetzen müssen. Sie zeigt nämlich bereits nicht auf, dass die Vorinstanz in ihrer Würdigung auf Ausführungen der Beschwerdegegnerin abstellte, welche diese erst in der Duplik vorgebracht hatte. Dass dies der Fall war, ergibt sich auch nicht aus dem angefochtenen Urteil.</w:t>
      </w:r>
    </w:p>
    <w:p>
      <w:r>
        <w:rPr>
          <w:b/>
        </w:rPr>
        <w:t>E. 4.6</w:t>
      </w:r>
    </w:p>
    <w:p>
      <w:r>
        <w:t>Damit erübrigt es sich, zu den Einwänden Stellung zu nehmen, welche die Beschwerdeführerin gegen die Begründung der Vorinstanz vorträgt, wonach auch die Beschädigungen, die Schadenshöhe und die Schadenersatzzahlung nicht genügend substanziiert seien. Tatsächlich ist fraglich, ob sich der Vorwurf der Vorinstanz halten lässt, die Beschwerdeführerin habe nicht aufgezeigt, "welche Palette mit welchen Produkten welche Beschädigung aufwies". Die Klage war aber bereits mangels der hinreichenden Substanziierung des Totalschadens abzuweisen.</w:t>
      </w:r>
    </w:p>
    <w:p>
      <w:r>
        <w:rPr>
          <w:b/>
        </w:rPr>
        <w:t>E. 5</w:t>
      </w:r>
    </w:p>
    <w:p>
      <w:r>
        <w:t>Die Beschwerde ist abzuweisen, soweit darauf eingetreten werden kann. Dem Ausgang des Verfahrens entsprechend wird die Beschwerdeführerin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