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261/2016 vom 27. Juli 2016</w:t>
      </w:r>
    </w:p>
    <w:p>
      <w:r>
        <w:t>Bundesgericht, 2016-07-27, FR</w:t>
      </w:r>
    </w:p>
    <w:p>
      <w:r>
        <w:rPr>
          <w:b/>
        </w:rPr>
        <w:t xml:space="preserve">Quelle: </w:t>
      </w:r>
      <w:r>
        <w:t>https://mcp.opencaselaw.ch/entscheid/bger_4A_261_2016</w:t>
      </w:r>
    </w:p>
    <w:p>
      <w:r>
        <w:t>FR: TF 4A 261/2016 du 27 juillet 2016</w:t>
      </w:r>
    </w:p>
    <w:p>
      <w:r>
        <w:t>IT: TF 4A 261/2016 del 27 luglio 2016</w:t>
      </w:r>
    </w:p>
    <w:p>
      <w:pPr>
        <w:pStyle w:val="Heading2"/>
      </w:pPr>
      <w:r>
        <w:t>Regeste</w:t>
      </w:r>
    </w:p>
    <w:p>
      <w:r>
        <w:t>contrat d'assurance; clause d'exclusion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 teneur de l'art. 33 de la loi fédérale sur le contrat d'assurance (LCA), l'assureur répond de tous les événements qui présentent le caractère du risque contre les conséquences duquel l'assurance a été conclue, à moins que le contrat n'exclue certains événements d'une manière précise et non équivoque. La Cour d'appel retient que le motocycle du demandeur a été laissé en stationnement sur la voie publique « non fermé » aux termes des conditions générales d'assurance applicables, et que la défenderesse est pour ce motif autorisée à refuser ses prestations. La Cour retient en particulier qu'à elle seule, la fermeture du contact « n'est pas une entrave au démarrage sérieuse pour un voleur averti ». De ses constatations de fait déterminantes selon l' art. 105 al. 1 LTF , il ressort de façon suffisamment nette que l'antivol électronique n'était pas censé s'enclencher automatiquement après la fermeture du contact et que le demandeur ne l'a pas autrement enclenché. En instance fédérale, ces constatations ne sont pas critiquées et le demandeur ne prétend pas qu'au moment de la disparition de son motocycle, cet engin fût protégé par cet antivol. Enfin, il est constant que l'antivol bloquant l'appareil de direction n'était pas fermé. Dans son mémoire de réplique au Tribunal civil, le demandeur a soutenu qu'un véhicule « fermé » est un véhicule « verrouillé » et « sécurisé ». Devant le Tribunal fédéral, il discute l'acception que ces mots reçoivent dans l'arrêt attaqué et il fait valoir que les deux derniers sont inexistants dans le libellé des conditions générales d'assurance. Il fait aussi valoir que les conditions générales ne font aucunement référence à un « voleur averti ». Il reproche aux précédents juges de n'avoir pas interprété objectivement les conditions générales.</w:t>
      </w:r>
    </w:p>
    <w:p>
      <w:r>
        <w:rPr>
          <w:b/>
        </w:rPr>
        <w:t>E. 3</w:t>
      </w:r>
    </w:p>
    <w:p>
      <w:r>
        <w:t>Les conditions contractuelles générales que les parties en litige ont convenu d'intégrer à leur propre contrat, telles des conditions générales d'assurance, s'interprètent en principe de la même manière que tout autre accord entre cocontractants ( ATF 122 III 118 consid. 2a p. 121). Il n'est d'ordinaire pas possible de mettre en évidence une intention réelle et commune des deux parties sur des points que l'une d'elles a réglés seule et par avance dans les conditions générales; le juge doit donc rechercher comment le texte pouvait être compris de bonne foi, selon le principe de la confiance (cf. ATF 135 III 410 consid. 3.2 p. 412; 133 III 675 consid. 3.3 p. 681),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 in dubio contra stipulatorem ( ATF 122 III 118 consid. 2a p. 121; 118 II 342 consid. 1a p. 344; voir aussi ATF 133 III 61 consid. 2.2.2.3 p. 69). L' art. 61 al. 1 LCA prévoit qu'à la suite d'un sinistre, celui qui a droit aux prestations de l'assureur est obligé de faire « tout ce qui est possible pour restreindre le dommage ». La loi n'oblige certes pas l'ayant droit à faire aussi, avant un sinistre, « tout ce qui est possible » pour en prévenir la survenance ou, autrement dit, pour en atténuer le risque; selon l' art. 14 al. 2 et 3 LCA , la loi ne réduit les obligations de l'assureur que lorsque le sinistre résulte d'une faute grave du preneur d'assurance ou de l'ayant droit. Certains auteurs proposent qu'une obligation de prévenir la survenance du sinistre, déjà consacrée en droit allemand, soit dans certaines limites introduite aussi en droit suisse (Stephan Weber, Die versicherungsrechtliche Schadenminderung, RDS 2007 vol. I p. 389, 397 et ss, avec références à d'autres contributions; voir aussi Christoph Frey, Schadenminderung im heutigen und neuen VVG, Revue de l'avocat 2012 p. 414, 415/416), et ils exposent qu'en l'état de ce droit, l'assureur peut prévoir cette obligation dans ses conditions générales, notamment sous forme de clauses d'exclusion de la couverture (Weber, loc. cit., p. 397). L' art. 29 al. 1 LCA fait d'ailleurs référence aux conventions « par lesquelles le preneur d'assurance se charge d'obligations déterminées en vue d'atténuer le risque ou d'en empêcher l'aggravation ».</w:t>
      </w:r>
    </w:p>
    <w:p>
      <w:r>
        <w:rPr>
          <w:b/>
        </w:rPr>
        <w:t>E. 4</w:t>
      </w:r>
    </w:p>
    <w:p>
      <w:r>
        <w:t>En l'espèce, la clause excluant la couverture d'assurance pour « les dommages dus au vol lorsque le motocycle non fermé se trouve à l'extérieur ou dans un local non fermé à clé » a pour but évident d'atténuer le risque de vol assumé par l'assureur; à cette fin, elle oblige l'ayant droit, sous menace de déchéance de ses prétentions contractuelles, à prendre la précaution consistant à « fermer » le motocycle parqué « à l'extérieur ». De bonne foi, l'ayant droit peut et doit comprendre qu'il lui incombe d'utiliser les dispositifs de fermeture dont l'engin est équipé, en tant qu'il peut par là atténuer le risque de vol sans s'exposer lui-même à des inconvénients ou incommodités excessifs. L'assureur peut légitimement attendre de l'ayant droit qu'il connaisse son véhicule et les dispositifs de fermeture dont celui-ci est équipé, ou qu'il assume le risque résultant de son ignorance. Lors du parcage du motocycle présentement concerné, il s'imposait au minimum d'en fermer le contact et de fermer l'antivol bloquant son appareil de direction, parce que ces deux manipulations sont faciles et qu'elles n'engendrent aucun inconvénient autre que la nécessité d'exécuter plus tard, à la fin du parcage, les manipulations contraires. Le demandeur n'a pas fermé l'antivol de l'appareil de direction, de sorte que pour ce motif déjà, la défenderesse est fondée à lui opposer la clause d'exclusion de la couverture d'assurance et à lui refuser ses prestations. Il n'est pas nécessaire d'examiner si la défenderesse eût de surcroît pu exiger, au regard de la même clause contractuelle, que l'antivol électronique eût été activé à l'époque de la mise en circulation du véhicule et enclenché lors du parcage. Le recours se révèle privé de fondement, ce qui conduit à son rejet.</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il n'est pas nécessaire d'examiner la situation pécuniaire de son auteur. A titre de partie qui succombe, le demandeur doit acquitter l'émolument à percevoir par le Tribunal fédéral. Son 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