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4A_261/2012 vom 20. August 2012</w:t>
      </w:r>
    </w:p>
    <w:p>
      <w:r>
        <w:t>Bundesgericht, 2012-08-20, FR</w:t>
      </w:r>
    </w:p>
    <w:p>
      <w:r>
        <w:rPr>
          <w:b/>
        </w:rPr>
        <w:t xml:space="preserve">Quelle: </w:t>
      </w:r>
      <w:r>
        <w:t>https://mcp.opencaselaw.ch/entscheid/bger_4A_261_2012</w:t>
      </w:r>
    </w:p>
    <w:p>
      <w:r>
        <w:t>FR: TF 4A_261/2012 du 20 août 2012</w:t>
      </w:r>
    </w:p>
    <w:p>
      <w:r>
        <w:t>IT: TF 4A_261/2012 del 20 agosto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parce que concernant l'exécution d'une décision antérieure en matière civile ( art. 72 al. 2 ch. 1 LTF ). Ses auteurs ont pris part à l'instance précédente et succombé dans leurs conclusions ( art. 76 al. 1 LTF ). La valeur litigieuse correspond à celle des biens en cause ( art. 51 al. 2 LTF ); elle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conduit son raisonnement juridique sur la base des faits constatés dans la décision attaquée ( art. 105 al. 1 LTF ).</w:t>
      </w:r>
    </w:p>
    <w:p>
      <w:r>
        <w:rPr>
          <w:b/>
        </w:rPr>
        <w:t>E. 2</w:t>
      </w:r>
    </w:p>
    <w:p>
      <w:r>
        <w:t>Selon la jurisprudence déterminante pour l'application de l' art. 62 al. 2 LTF , la partie intimée qui entend obtenir des sûretés en garantie des dépens doit les requérir avant de procéder devant le Tribunal fédéral ( ATF 118 II 87 consid. 2 p. 88; 79 II 295 consid. 3 p. 305; voir aussi ATF 132 I 134 consid. 2.2 p. 137/138). En l'espèce, l'intimée n'est plus autorisée à réclamer des sûretés alors qu'elle a déjà pris position sur le recours.</w:t>
      </w:r>
    </w:p>
    <w:p>
      <w:r>
        <w:rPr>
          <w:b/>
        </w:rPr>
        <w:t>E. 3</w:t>
      </w:r>
    </w:p>
    <w:p>
      <w:r>
        <w:t>Le 10 mars 2011, les recourants ont présenté la requête d'exécution prévue par l' art. 338 CPC , destinée à faire ordonner des mesures de contrainte ou d'exécution par substitution aptes à assurer l'exécution forcée d'une décision judiciaire. L' art. 341 al. 1 CPC imposait au juge saisi de vérifier si cette décision, c'est-à-dire l'ordonnance du 24 février 2009, était exécutoire; à la différence du Tribunal de première instance, la Cour de justice a jugé que l'ordonnance n'était pas exécutoire; elle a pour ce motif libéré l'intimée des mesures de contrainte que le tribunal avait adoptées contre elle.</w:t>
      </w:r>
    </w:p>
    <w:p>
      <w:r>
        <w:t>L'ordonnance du 24 février 2009 est intervenue en application du droit de procédure civile cantonal en vigueur jusqu'à la fin de 2010 et la Cour en a examiné la portée au regard de ce droit. Cette approche n'est pas contestée par les recourants.</w:t>
      </w:r>
    </w:p>
    <w:p>
      <w:r>
        <w:t>Ceux-ci invoquent l' art. 9 Cst. et se plaignent d'une application arbitraire des règles déterminantes, soit les art. 329 et 330 al. 1 de la loi de procédure civile genevoise (LPC gen.): l'ordonnance autorisant une mesure provisionnelle était périmée de plein droit si elle n'avait pas été mise à exécution dans les trente jours de sa date (art. 329), et l'effet de la mesure cessait de plein droit s'il n'y avait pas eu, dans les trente jours dès la signification du procès-verbal d'exécution, accord entre les parties ou demande introduite en justice (art. 330 al. 1). Selon la doctrine, une mesure provisionnelle ordonnée d'accord entre les parties était aussi soumise à l'exigence de la validation par une action au fond, cela parce que la partie citée peut acquiescer sur mesures provisionnelles sans pour autant acquiescer aussi sur la prétention au fond annoncée par la partie requérante; il n'y avait en revanche pas lieu à validation lorsque, devant le juge des mesures provisionnelles, les parties avaient convenu d'une mesure durable ou passé un accord incluant la prétention au fond (Bernard Bertossa et al., Commentaire de la loi de procédure civile du canton de Genève, n° 6 ad art. 330 LPC ).</w:t>
      </w:r>
    </w:p>
    <w:p>
      <w:r>
        <w:rPr>
          <w:b/>
        </w:rPr>
        <w:t>E. 4</w:t>
      </w:r>
    </w:p>
    <w:p>
      <w:r>
        <w:t>Les recourants persistent à soutenir que le 23 février 2009, leur droit à la restitution des valeurs déposées auprès de l'intimée a été définitivement reconnu par un accord au fond.</w:t>
      </w:r>
    </w:p>
    <w:p>
      <w:r>
        <w:t>Selon la décision attaquée, l'accord n'a porté que sur des mesures provisionnelles nécessitant d'être validées par une action au fond; la Cour se réfère ici aux conclusions que l'intimée avait prises préalablement à l'audience, où elle déclarait s'en rapporter à justice sur mesures provisionnelles et réserver ses droits sur le fond. La Cour observe que la restitution des valeurs, telle que prévue par l'accord, aurait rendu « inutile » une action en validation; néanmoins, selon son appréciation, il était « parfaitement envisageable » que N.________ AG admît à titre provisionnel de restituer ces biens et fît ensuite valoir, dans l'action au fond, d'éventuels moyens tirés de ses relations contractuelles avec l'un ou l'autre des requérants.</w:t>
      </w:r>
    </w:p>
    <w:p>
      <w:r>
        <w:t>Les recourants contestent cette appréciation. Ils soulignent que, comme la Cour l'a dûment relevé, ils n'auraient plus aucun intérêt à introduire une action au fond, destinée à faire reconnaître leur droit à la restitution des valeurs, si ces mêmes valeurs leur étaient restituées conformément à l'accord. De cela, ils déduisent qu'il s'agit d'un accord au fond plutôt que d'un accord restreint aux mesures provisionnelles. Ils soulignent aussi que la restitution promise par les parties citées va au delà d'un simple acquiescement à la saisie conservatoire qui était demandée par voie de mesures provisionnelles, avec dépôt des valeurs auprès des services financiers du pouvoir judiciaire; de cela également, ils déduisent que l'accord porte sur le fond plutôt que sur des mesures provisionnelles.</w:t>
      </w:r>
    </w:p>
    <w:p>
      <w:r>
        <w:rPr>
          <w:b/>
        </w:rPr>
        <w:t>E. 5</w:t>
      </w:r>
    </w:p>
    <w:p>
      <w:r>
        <w:t>Les termes de l'accord intervenu à l'audience du 23 février 2009 n'ont pas été constatés et ils ne sont connus que par l'ordonnance rendue le lendemain par le tribunal: ce prononcé fait état d'engagements pris par les parties et aucune d'elles ne l'a contesté.</w:t>
      </w:r>
    </w:p>
    <w:p>
      <w:r>
        <w:t>N.________ AG s'est obligée à restituer les valeurs dans un délai de vingt jours, sans réserves ni conditions, et sans se ménager aucune possibilité concrète de les récupérer selon l'issue d'une action judiciaire que ses adverses parties devraient encore introduire. A première vue, N.________ AG abandonnait donc entièrement toute prétention sur les biens en litige. Si tel est le sens de l'accord, celui-ci est définitif et aucune action en validation n'a été réservée, même de manière seulement implicite.</w:t>
      </w:r>
    </w:p>
    <w:p>
      <w:r>
        <w:t>N.________ AG s'est cependant aussi obligée à « transférer dans l'intervalle » les valeurs à la trésorerie générale de l'Etat de Genève. Dans sa réponse au recours, l'intimée expose avec pertinence que ce transfert ne peut être que conservatoire et que « l'intervalle » dont il est question ne peut guère se rapporter qu'à la durée d'une action judiciaire destinée à élucider les droits respectifs des parties.</w:t>
      </w:r>
    </w:p>
    <w:p>
      <w:r>
        <w:t>Enfin, la banque a déclaré s'en rapporter à justice et ne pas s'opposer au « transfert » des valeurs. Par là, elle a sans aucun doute acquiescé au transfert conservatoire des valeurs auprès de la trésorerie de l'Etat; en revanche, elle ne paraît pas avoir aussi acquiescé à leur restitution immédiate et définitive aux requérants.</w:t>
      </w:r>
    </w:p>
    <w:p>
      <w:r>
        <w:t>L'ordonnance est ainsi ambiguë et son interprétation prête à discussion. L'opinion défendue par les recourants est certes défendable mais l'appréciation contraire retenue par la Cour de justice l'est aussi. Or, le Tribunal fédéral n'intervient pour violation de l' art. 9 Cst. que lorsque la décision attaquée se révèle objectivement insoutenable dans son résultat ( ATF 137 I 1 consid. 2.4 p. 5; 136 III 552 consid. 4.2 p. 560). La Cour n'a donc pas contrevenu à cette disposition constitutionnelle en jugeant que les mesures ordonnées le 24 février 2009 auraient dû être validées par une action au fond, conformément à l' art. 330 al. 1 LPC gen., et que l'ordonnance n'est plus exécutoire parce que la validation a été omise.</w:t>
      </w:r>
    </w:p>
    <w:p>
      <w:r>
        <w:rPr>
          <w:b/>
        </w:rPr>
        <w:t>E. 6</w:t>
      </w:r>
    </w:p>
    <w:p>
      <w:r>
        <w:t>Le recours se révèle privé de fondement, ce qui conduit à son rejet. A titre de parties qui succombent, ses auteurs doivent acquitter l'émolument à percevoir par le Tribunal fédéral et les dépens auxquels l'intimée M.________ SA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