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4A_260/2025 vom 6. Juni 2025</w:t>
      </w:r>
    </w:p>
    <w:p>
      <w:r>
        <w:t>Bundesgericht, 2025-06-06, DE</w:t>
      </w:r>
    </w:p>
    <w:p>
      <w:r>
        <w:rPr>
          <w:b/>
        </w:rPr>
        <w:t xml:space="preserve">Quelle: </w:t>
      </w:r>
      <w:r>
        <w:t>https://mcp.opencaselaw.ch/entscheid/bger_4A_260_2025</w:t>
      </w:r>
    </w:p>
    <w:p>
      <w:r>
        <w:t>FR: TF 4A_260/2025 du 6 juin 2025</w:t>
      </w:r>
    </w:p>
    <w:p>
      <w:r>
        <w:t>IT: TF 4A_260/2025 del 6 giugno 2025</w:t>
      </w:r>
    </w:p>
    <w:p>
      <w:pPr>
        <w:pStyle w:val="Heading2"/>
      </w:pPr>
      <w:r>
        <w:t>Erwägungen</w:t>
      </w:r>
    </w:p>
    <w:p>
      <w:r>
        <w:rPr>
          <w:b/>
        </w:rPr>
        <w:t>E. 1</w:t>
      </w:r>
    </w:p>
    <w:p>
      <w:r>
        <w:t>Die Beschwerdeführerin mietete von C.________ sel. eine 2-Zimmerwohnung in einem Mehrfamilienhaus in U.________. Beim Vertragsschluss wurde C.________ sel. durch die D.________ AG vertreten. Die Mietvertragsparteien setzten den Mietbeginn auf den 1. April 2011 fest. Am 18. April 2022 verstarb C.________ sel. In der Folge ging das Mehrfamilienhaus in das Eigentum der E.________-Stiftung und der Stiftung F.________ über. Willensvollstreckerin von C.________ sel. war die G.________ AG.</w:t>
      </w:r>
    </w:p>
    <w:p>
      <w:r>
        <w:t>Mit amtlichem Formular vom 3. Mai 2022 kündigte die D.________ AG im Namen des verstorbenen C.________ sel. den Mietvertrag mit der Beschwerdeführerin ordentlich per 30. September 2022. Später kündigte auch die Willensvollstreckerin G.________ AG als Vertreterin der Erben von C.________ sel. mit amtlichem Formular vom 16. Juni 2022 das Mietverhältnis per 30. September 2022. Diese zweite, ebenfalls ordentliche Kündigung erfolgte für den Fall, dass die erste Kündigung der D.________ AG gerichtlich für unwirksam erklärt werden sollte.</w:t>
      </w:r>
    </w:p>
    <w:p>
      <w:r>
        <w:rPr>
          <w:b/>
        </w:rPr>
        <w:t>E. 2</w:t>
      </w:r>
    </w:p>
    <w:p>
      <w:r>
        <w:t>Die Beschwerdeführerin focht mit zwei separaten Eingaben am 18. Mai 2022 und am 11. Juli 2022 die beiden Kündigungen bei der Schlichtungsbehörde Zürich an. Die E.________-Stiftung und die Stiftung F.________ lehnten die von der Schlichtungsbehörde unterbreiteten Urteilsvorschläge ab. Am 2. Februar 2023 verkauften die beiden Stiftungen das Mietobjekt an die Beschwerdegegnerin, wodurch diese neue Eigentümerin und Vermieterin wurde.</w:t>
      </w:r>
    </w:p>
    <w:p>
      <w:r>
        <w:t>Die Beschwerdegegnerin reichte am 15. März 2023 eine Klage beim Mietgericht Zürich ein. Darin beantragte sie die Feststellung, dass die erste oder zumindest die zweite Kündigung gültig sei. Weiter sei der Beschwerdeführerin keine sechs Monate übersteigende definitive Erstreckung zu gewähren. Mit Urteil vom 11. März 2024 stellte das Mietgericht die Gültigkeit der am 16. Juni 2022 ausgesprochenen Kündigung per 30. September 2022 fest. Zugleich erstreckte es das Mietverhältnis erst- und letztmalig um ein Jahr bis zum 30. September 2023.</w:t>
      </w:r>
    </w:p>
    <w:p>
      <w:r>
        <w:t>Dagegen erhob die Beschwerdeführerin am 29. April 2024 Berufung beim Obergericht des Kantons Zürich. Mit Urteil vom 9. April 2025 wies dieses die Berufung ab und bestätigte das mietgerichtliche Urteil.</w:t>
      </w:r>
    </w:p>
    <w:p>
      <w:r>
        <w:rPr>
          <w:b/>
        </w:rPr>
        <w:t>E. 3</w:t>
      </w:r>
    </w:p>
    <w:p>
      <w:r>
        <w:t>Mit Beschwerde in Zivilsachen beantragt die Beschwerdeführerin dem Bundesgericht, das Urteil des Obergerichts vollumfänglich aufzuheben und die Sache zur Durchführung eines Beweisverfahrens an diese Instanz zurückzuweisen. Eventualiter sei das Mietverhältnis um vier Jahre zu erstrecken. Subeventualiter sei das Mietverhältnis im Rahmen einer zweiten Erstreckung um drei Jahre zu erstrecken. Subsubeventualiter sei das Mietverhältnis befristet bis zur Leerkündigungsfrist vom 31. März 2027 zu den Konditionen der Sanierungskündigung zu erneuern. Überdies ersuchte die Beschwerdeführerin für das bundesgerichtliche Verfahren um Bewilligung der unentgeltlichen Prozessführung und Bestellung eines unentgeltlichen Rechtsbeistandes.</w:t>
      </w:r>
    </w:p>
    <w:p>
      <w:r>
        <w:t>Es wurden keine Vernehmlassungen eingeholt.</w:t>
      </w:r>
    </w:p>
    <w:p>
      <w:r>
        <w:t>Mit Präsidialverfügung vom 3. Juni 2025 wurde das Gesuch um Erteilung der aufschiebenden Wirkung abgewiesen.</w:t>
      </w:r>
    </w:p>
    <w:p>
      <w:r>
        <w:rPr>
          <w:b/>
        </w:rPr>
        <w:t>E. 4</w:t>
      </w:r>
    </w:p>
    <w:p>
      <w:r>
        <w:t>Das Bundesgericht prüft von Amtes wegen und mit freier Kognition, ob ein Rechtsmittel zulässig ist ( Art. 29 Abs. 1 BGG ; BGE 150 III 248 E. 1; 149 III 277 E. 3.1; 148 IV 155 E. 1.1).</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4.2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4.3</w:t>
      </w:r>
    </w:p>
    <w:p>
      <w:r>
        <w:t>Die Beschwerde genügt diesen Begründungsanforderungen offensichtlich nicht, weshalb darauf nicht einzutreten ist (Art. 108 Abs. 1 lit. b i.V.m. Abs. 3 BGG).</w:t>
      </w:r>
    </w:p>
    <w:p>
      <w:r>
        <w:rPr>
          <w:b/>
        </w:rPr>
        <w:t>E. 5</w:t>
      </w:r>
    </w:p>
    <w:p>
      <w:r>
        <w:t>Das Gesuch der Beschwerdeführerin um unentgeltliche Rechtspflege und Verbeiständung für das bundesgerichtliche Verfahren ist wegen Aussichtslosigkeit abzuweisen ( Art. 64 Abs. 1 BGG ).</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