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260/2012 vom 19. November 2012</w:t>
      </w:r>
    </w:p>
    <w:p>
      <w:r>
        <w:t>Bundesgericht, 2012-11-19, IT</w:t>
      </w:r>
    </w:p>
    <w:p>
      <w:r>
        <w:rPr>
          <w:b/>
        </w:rPr>
        <w:t xml:space="preserve">Quelle: </w:t>
      </w:r>
      <w:r>
        <w:t>https://mcp.opencaselaw.ch/entscheid/bger_4A_260_2012</w:t>
      </w:r>
    </w:p>
    <w:p>
      <w:r>
        <w:t>FR: TF 4A 260/2012 du 19 novembre 2012</w:t>
      </w:r>
    </w:p>
    <w:p>
      <w:r>
        <w:t>IT: TF 4A 260/2012 del 19 novembre 2012</w:t>
      </w:r>
    </w:p>
    <w:p>
      <w:pPr>
        <w:pStyle w:val="Heading2"/>
      </w:pPr>
      <w:r>
        <w:t>Regeste</w:t>
      </w:r>
    </w:p>
    <w:p>
      <w:r>
        <w:t>contratto di locazione | Diritto contrattuale</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giudiziaria ticinese di ultima istanza ( art. 75 LTF ) in una causa civile ( art. 72 cpv. 1 LTF ). Il valore litigioso, che la Corte cantonale ha accertato in fr. 82'800.--, supera la soglia di fr. 15'000.-- vigente per le cause pecuniarie in materia di locazione ( art. 74 cpv. 1 lett. a LTF ); poco importa che davanti al Tribunale federale le contestazioni siano state limitate, poiché sono determinanti le conclusioni rimaste controverse davanti all'istanza inferiore ( art. 51 cpv. 1 lett. a LTF ). Sotto questo profilo il ricorso è pertanto ammissibile.</w:t>
      </w:r>
    </w:p>
    <w:p>
      <w:r>
        <w:rPr>
          <w:b/>
        </w:rPr>
        <w:t>E. 2</w:t>
      </w:r>
    </w:p>
    <w:p>
      <w:r>
        <w:t>Il Tribunale federale esamina d'ufficio l'applicazione del diritto federale ( art. 106 cpv. 1 LTF ). Tuttavia, tenuto conto dell'onere di allegazione e motivazione 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134 III 244 consid. 22, 130 I 258 consid. 1.3). Il rinvio agli atti della procedura cantonale non è ammesso ( DTF 133 II 396 consid. 3.2). 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cantonale un accertamento dei fatti manifestamente inesatto - ossia arbitrario (DTF 133 Il 249 consid. 1.2.2 pag. 252) - il ricorrente deve motivare la censura conformemente alle esigenze poste dall' art. 106 cpv. 2 LTF ( DTF 133 III 638 consid. 2). Deve indicare chiaramente i diritti costituzionali che si pretendono violati e precisare in cosa consiste la violazione ( DTF 134 III 244 consid. 2.2). Siccome il giudice cantonale fruisce di un grande potere discrezionale nel campo dell'apprezzamento delle prove (o dell'accertamento dei fatti in genere), chi invoca l'arbitrio deve dimostrare che la sentenza impugnata ha ignorato il senso e la portata di un mezzo di prova preciso, ha omesso senza ragioni valide di tenere conto di una prova importante suscettibile di modificare l'esito della lite, oppure ha ammesso o negato un fatto ponendosi in aperto contrasto con gli atti di causa o interpretandoli in modo insostenibile ( DTF 137 I 58 consid. 4.1.2; 129 III 8 consid. 2.1).</w:t>
      </w:r>
    </w:p>
    <w:p>
      <w:r>
        <w:rPr>
          <w:b/>
        </w:rPr>
        <w:t>E. 3</w:t>
      </w:r>
    </w:p>
    <w:p>
      <w:r>
        <w:t>La sentenza cantonale inizia con un esposto approfondito sulle regole interpretative degli art. 269 segg. CO concernenti la fissazione della pigione, nel contesto specifico della richiesta di aumento del locatore e delle eccezioni a disposizione del conduttore. Chinandosi sull'aumento della pigione la Corte ticinese, aderendo alla tesi del Pretore, ha dichiarato l'aumento "nullo nel suo insieme", poiché i due criteri invocati dai locatori, l'uno relativo ( art. 269a lett. b CO ) l'altro assoluto ( art. 269a lett. a CO ), sono "antinomici". Ha spiegato che il significato letterale dell'avverbio inoltre usato nel modulo d'aumento equivale a oltre a ciò o per di più ed esclude perciò che il secondo motivo fosse da intendere subordinato per rispetto al primo e ha richiamato la sentenza 4A_276/2011 dell'11 ottobre 2011, consid. 4, che ha interpretato allo stesso modo la locuzione avverbiale francese en outre. Quanto alla domanda di riduzione della pigione, il Tribunale di appello, condividendo ancora il giudizio del Pretore, ha negato che fossero adempiuti i presupposti dell'eccezione dei locatori fondata sul reddito lordo secondo l'art. 269a lett. c CO, poiché l'immobile non è di recente costruzione e non è nemmeno stato oggetto di ristrutturazione totale o di risanamenti strutturali per costi rilevanti negli ultimi dieci anni. Ha aggiunto che, siccome l'art. 269a lett. c CO ha lo scopo di favorire la costruzione di abitazioni nuove permettendo un reddito superiore a quello che ammetterebbero gli altri criteri negli anni che seguono la fine dei lavori, l'acquisto recente dello stabile invocato dai locatori è ininfluente. Infine i giudici ticinesi hanno sentenziato che alla riduzione non possono essere opposte neppure le prestazioni supplementari nel senso dell' art. 269a lett. b CO , dal momento che gli importi fatti valere non permettono di "assimilare la fattispecie a un'edificazione" e che in ogni caso il criterio del reddito lordo compensante i costi fondato sull'art. 269a lett. c CO, eccepito dai locatori, esclude tutti gli altri.</w:t>
      </w:r>
    </w:p>
    <w:p>
      <w:r>
        <w:rPr>
          <w:b/>
        </w:rPr>
        <w:t>E. 4</w:t>
      </w:r>
    </w:p>
    <w:p>
      <w:r>
        <w:t>I ricorrenti ritengono "palesemente erronea" l'interpretazione dell'avverbio inoltre effettuata dal Tribunale di appello; asseriscono di non avere affatto inteso prevalersi di un secondo motivo di aumento, ma di avere soltanto voluto "richiamare l'attenzione degli inquilini sul fatto che oltretutto le nuove pigioni sarebbero state più vicine (ma sempre inferiori) ai corrispettivi in uso nel quartiere". La sentenza d'appello denoterebbe insomma un "eccessivo formalismo applicato autonomamente dall'Autorità giudiziaria cantonale".</w:t>
      </w:r>
    </w:p>
    <w:p>
      <w:r>
        <w:rPr>
          <w:b/>
        </w:rPr>
        <w:t>E. 4.1</w:t>
      </w:r>
    </w:p>
    <w:p>
      <w:r>
        <w:t>La tesi ricorsuale si scontra in modo manifesto contro l'accertamento della sentenza impugnata, secondo cui nell'istanza del 1° dicembre 2008 rivolta al Pretore i locatori stessi avevano indicato che i lavori di risanamento dello stabile e le pigioni in uso nella zona costituivano "due motivi concorrenti" a giustificazione dell'aumento. Se tale era la volontà dichiarata dei locatori, non occorrono interpretazioni particolari per determinarne la portata. Ciò che le parti hanno dichiarato e voluto attiene al fatto ed è perciò vincolante per il Tribunale federale ( DTF 132 III 268 consid. 2.3.2); i ricorrenti non contestano d'altronde il suddetto accertamento.</w:t>
      </w:r>
    </w:p>
    <w:p>
      <w:r>
        <w:rPr>
          <w:b/>
        </w:rPr>
        <w:t>E. 4.2</w:t>
      </w:r>
    </w:p>
    <w:p>
      <w:r>
        <w:t>Aggiungasi che, in diritto, l'interpretazione secondo il principio dell'affidamento non condurrebbe a un risultato diverso. La dichiarazione fatta dai ricorrenti davanti al Pretore coincide con il testo letterale della motivazione dell'aumento. L'avverbio inoltre esprime perfettamente l'equivalenza tra i due motivi, al pari della locuzione francese commentata nella sentenza 4A_276/2011 dell'11 ottobre 2011 (l'analogia è quasi perfetta, tranne che, in quel caso, la richiesta d'aumento contestata esponeva i motivi dell'art. 269a lett. a/b CO nell'ordine inverso). Che in altri contesti il significato possa anche essere diverso nulla muta. Così come è stato usato nella notifica, senza locuzioni esplicative particolari, l'avverbio inoltre non è neppure indice di un rapporto di subordinazione (tesi alla quale i locatori sembrano peraltro avere rinunciato in questa procedura).</w:t>
      </w:r>
    </w:p>
    <w:p>
      <w:r>
        <w:rPr>
          <w:b/>
        </w:rPr>
        <w:t>E. 4.3</w:t>
      </w:r>
    </w:p>
    <w:p>
      <w:r>
        <w:t>Per giurisprudenza radicata l'aumento motivato dal locatore con due criteri tra di loro incompatibili, come l'adeguamento alle pigioni usuali e il rincaro dei costi delle prestazioni supplementari, è nullo ( DTF 121 III 6 consid. 3c; sentenza 4A_276/2011 dell'11 ottobre 2011, consid. 4.4). La nullità è assoluta: può essere invocata in ogni momento ed è accertabile d'ufficio (cfr. sentenza 4C.96/2005 del 20 giugno 2005, consid. 1.2.2). Il giudizio di nullità pronunciato dal Tribunale ticinese è pertanto conforme al diritto federale.</w:t>
      </w:r>
    </w:p>
    <w:p>
      <w:r>
        <w:rPr>
          <w:b/>
        </w:rPr>
        <w:t>E. 5</w:t>
      </w:r>
    </w:p>
    <w:p>
      <w:r>
        <w:t>L'atto di ricorso non contiene altre censure espresse correttamente ( art. 42 LTF ; cfr. consid. 2). In particolare, sul tema della riduzione della pigione, i ricorrenti argomentano che la domanda dei conduttori è "paralizzata" sia dalle pigioni in uso, sia dai lavori di risanamento, sia dal reddito lordo insufficiente; a quest'ultimo proposito richiamano la massima inquisitoria ufficiale, che a loro giudizio "consente al giudice di colmare eventuali aspetti interpretativi della fattispecie ma che non consente di estendere le effettive contestazioni di una parte". Un'argomentazione del genere, poco comprensibile, con cui i locatori sovrappongono in modo confuso i tre criteri dell'art. 269a lett. a/b/c CO, senza considerare e contestare punto per punto la motivazione articolata con la quale la Corte cantonale ha respinto le loro eccezioni, è inammissibile (cfr. consid. 2).</w:t>
      </w:r>
    </w:p>
    <w:p>
      <w:r>
        <w:rPr>
          <w:b/>
        </w:rPr>
        <w:t>E. 6</w:t>
      </w:r>
    </w:p>
    <w:p>
      <w:r>
        <w:t>Ne viene che il gravame, nella misura limitata in cui è ammissibile, è infondato. Le spese seguono la soccombenza ( art. 66 cpv. 1 LTF ). Non sono assegnate ripetibili alla parte resistente, che non si è avvalsa di un patrocinatore davanti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