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25/2013 vom 11. April 2013</w:t>
      </w:r>
    </w:p>
    <w:p>
      <w:r>
        <w:t>Bundesgericht, 2013-04-11, FR</w:t>
      </w:r>
    </w:p>
    <w:p>
      <w:r>
        <w:rPr>
          <w:b/>
        </w:rPr>
        <w:t xml:space="preserve">Quelle: </w:t>
      </w:r>
      <w:r>
        <w:t>https://mcp.opencaselaw.ch/entscheid/bger_4A_25_2013</w:t>
      </w:r>
    </w:p>
    <w:p>
      <w:r>
        <w:t>FR: TF 4A 25/2013 du 11 avril 2013</w:t>
      </w:r>
    </w:p>
    <w:p>
      <w:r>
        <w:t>IT: TF 4A 25/2013 del 11 aprile 2013</w:t>
      </w:r>
    </w:p>
    <w:p>
      <w:pPr>
        <w:pStyle w:val="Heading2"/>
      </w:pPr>
      <w:r>
        <w:t>Regeste</w:t>
      </w:r>
    </w:p>
    <w:p>
      <w:r>
        <w:t>décision incidente; recours immédiat, | Droit des contrats</w:t>
      </w:r>
    </w:p>
    <w:p>
      <w:pPr>
        <w:pStyle w:val="Heading2"/>
      </w:pPr>
      <w:r>
        <w:t>Erwägungen</w:t>
      </w:r>
    </w:p>
    <w:p>
      <w:r>
        <w:rPr>
          <w:b/>
        </w:rPr>
        <w:t>E. 1</w:t>
      </w:r>
    </w:p>
    <w:p>
      <w:r>
        <w:t>Le Tribunal fédéral examine d'office la recevabilité des recours ( ATF 137 III 417 consid. 1; cf. art. 29 al. 1 LTF , concernant la compétence). Le fait que l'intimée ne discute pas la recevabilité du présent recours ne lie pas la Cour de céans. Il est incontesté que la décision attaquée est une décision incidente, susceptible de recours immédiat uniquement si l'admission du recours permettrait d'éviter une procédure probatoire longue et coûteuse ( art. 93 al. 1 let. b LTF ). Selon la jurisprudence citée par le recourant lui-même, la procédure probatoire peut être qualifiée de longue et coûteuse lorsqu'elle implique une administration de preuves qui, par sa durée et son coût, s'écarte notablement des procès habituels. S'il s'agit d'entendre les parties, de leur permettre de produire des pièces et de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2C_111/2011 du 7 juillet 2011 consid. 1.1.3, in SJ 2012 I 97; 4A_23/2008 du 28 mars 2008 consid. 1.3, in SJ 2008 I 389). En l'espèce, la question de savoir si un meuble est ou non d'époque ne paraît pas nécessiter une expertise complexe. En outre, on ne discerne pas en quoi l'appel en cause de deux personnes domiciliées en France pourrait conduire à une administration de preuves longue et coûteuse; les frais de commissions rogatoires invoqués par le recourant sont manifestement sans pertinence à cet égard. Il s'ensuit l'irrecevabilité du recours.</w:t>
      </w:r>
    </w:p>
    <w:p>
      <w:r>
        <w:rPr>
          <w:b/>
        </w:rPr>
        <w:t>E. 2</w:t>
      </w:r>
    </w:p>
    <w:p>
      <w:r>
        <w:t>Le recourant supporte les frais et dépens ( art. 66 et 68 LTF ). L'émolument judiciaire sera réduit vu le sort de la cause. En revanche, il sera alloué des dépens entiers à l'intimée, qui a dû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