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25/2007 vom 25. Mai 2007</w:t>
      </w:r>
    </w:p>
    <w:p>
      <w:r>
        <w:t>Bundesgericht, 2007-05-25, FR</w:t>
      </w:r>
    </w:p>
    <w:p>
      <w:r>
        <w:rPr>
          <w:b/>
        </w:rPr>
        <w:t xml:space="preserve">Quelle: </w:t>
      </w:r>
      <w:r>
        <w:t>https://mcp.opencaselaw.ch/entscheid/bger_4A_25_2007</w:t>
      </w:r>
    </w:p>
    <w:p>
      <w:r>
        <w:t>FR: TF 4A 25/2007 du 25 mai 2007</w:t>
      </w:r>
    </w:p>
    <w:p>
      <w:r>
        <w:t>IT: TF 4A 25/2007 del 25 maggio 2007</w:t>
      </w:r>
    </w:p>
    <w:p>
      <w:pPr>
        <w:pStyle w:val="Heading2"/>
      </w:pPr>
      <w:r>
        <w:t>Regeste</w:t>
      </w:r>
    </w:p>
    <w:p>
      <w:r>
        <w:t>contrat de travail; licenciement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la partie qui a succombé dans ses conclusions libératoires et reconventionnelles en paiement ( art. 76 al. 1 LTF ) et dirigé contre une décision finale ( art. 90 LTF ) rendue en matière civile ( art. 72 al. 1 LTF ) par une autorité cantonale de dernière instance ( art. 75 al. 1 LTF ) dans une affaire de droit du travail dont la valeur litigieuse atteint le seuil de 15'000 fr. ( art. 74 al. 1 let. a LTF ), le présent recours en matière civile est en principe recevable, puisqu'il a été déposé dans le délai (art. 45 al. 1 et 100 al. 1 LTF) et la forme ( art. 42 LTF ) prévus par la loi.</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Invoquant l' art. 29 al. 2 Cst. , la recourante reproche à la cour cantonale d'avoir violé son droit à un jugement motivé s'agissant du calcul du dommage subi par l'intimé et de l'indemnité allouée de ce chef.</w:t>
      </w:r>
    </w:p>
    <w:p>
      <w:r>
        <w:rPr>
          <w:b/>
        </w:rPr>
        <w:t>E. 3.1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w:t>
      </w:r>
    </w:p>
    <w:p>
      <w:r>
        <w:rPr>
          <w:b/>
        </w:rPr>
        <w:t>E. 3.2</w:t>
      </w:r>
    </w:p>
    <w:p>
      <w:r>
        <w:t>Le droit d'être entendu est garanti en premier lieu par le droit cantonal; comme la recourante n'invoque pas la violation de telles normes, c'est à la lumière des garanties offertes directement par l' art. 29 al. 2 Cst. qu'il y a lieu d'examiner le grief ( ATF 126 I 15 consid. 2a).</w:t>
      </w:r>
    </w:p>
    <w:p>
      <w:r>
        <w:rPr>
          <w:b/>
        </w:rPr>
        <w:t>E. 3.3</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3.4</w:t>
      </w:r>
    </w:p>
    <w:p>
      <w:r>
        <w:t>En l'espèce, la cour cantonale a retenu en bref que les premiers juges avaient alloué à l'intimé la moitié de ses prétentions, en considérant que le comportement de l'employeur n'expliquait pas à lui seul les difficultés rencontrées; cette solution, essentiellement fondée sur l'équité, pouvait être retenue dans son principe, du moins pour l'année 2005; compte tenu de l'ensemble des éléments, en admettant que Y.________ avait subi un dommage de 782 fr. par mois pendant dix-neuf mois (janvier 2005 à juillet 2006) et un dommage de 7'500 fr. pour août 2006, soit au total 22'358 fr., il y avait lieu de lui allouer le tiers de ce montant, soit 7'450 fr. en chiffres ronds.</w:t>
      </w:r>
    </w:p>
    <w:p>
      <w:r>
        <w:rPr>
          <w:b/>
        </w:rPr>
        <w:t>E. 3.5</w:t>
      </w:r>
    </w:p>
    <w:p>
      <w:r>
        <w:t>La recourante critique la cour cantonale lorsqu'elle a retenu que l'intimé avait subi un dommage de 782 fr. par mois, en reprenant ce chiffre des calculs - selon elle incompréhensibles - effectués par les premiers juges, et expliqué que cette somme constituait la différence entre les indemnités de chômage que l'intimé avait perçues et la moitié du salaire qu'il aurait hypothétiquement pu réaliser si l'employeur ne s'était pas prévalu de la clause de prohibition de concurrence. Elle soutient que le salaire hypothétique qu'aurait pu trouver l'intimé sur le marché de l'emploi ne ressort d'aucune pièce et n'est pas un fait notoire; si la cour cantonale avait voulu retenir le dernier salaire de l'intimé, non seulement elle aurait dû le dire clairement, mais encore elle aurait dû effectuer son calcul sur des rémunérations réellement nettes; le montant de 7'500 fr. qu'elle avait pris en considération correspondant à un montant brut, son calcul était donc erroné; même en retenant le chiffre de 7'500 fr., le calcul restait incompréhensible : 7'500 fr. divisé par 2 = 3'750 fr., ôté de 5'936 fr. 60 = 2'186 fr. 60 et non 781 fr. 70 arrondi à 782 fr.; la suite du calcul auquel se livre la cour cantonale se fonderait sur une première étape frappée de la violation de rendre des jugements motivés de façon compréhensible.</w:t>
      </w:r>
    </w:p>
    <w:p>
      <w:r>
        <w:rPr>
          <w:b/>
        </w:rPr>
        <w:t>E. 3.6</w:t>
      </w:r>
    </w:p>
    <w:p>
      <w:r>
        <w:t>La recourante ne saurait être suivie lorsqu'elle qualifie les calculs des premiers juges d'« incompréhensibles ». Au consid. 3 de son arrêt, la cour cantonale a en effet notamment expliqué que la somme de 781 fr. 70 retenue par ceux-ci constituait « la différence entre les indemnités de chômage qu'il a perçues (5'936 fr. 60 nets par mois en moyenne) et la moitié (sic) du salaire qu'il aurait hypothétiquement pu trouver (7'500 fr. nets) si l'employeur ne s'était pas prévalu de la clause de prohibition de concurrence ». S'il apparaît certes qu'ensuite d'une erreur de plume, le mot « moitié » se trouve au mauvais endroit, il est aisé de comprendre que le montant arrondi de 782 fr. résulte de l'opération arithmétique 7'500 fr. - 5'936 fr. 60 = 1'563 fr. 40 : 2 = 781 fr. 70. Pour le surplus, la motivation litigieuse permet de comprendre les éléments sur lesquels les précédents juges se sont fondés pour fixer le montant de l'indemnité litigieuse, ce qui n'a du reste pas échappé à la recourante, qui en critique d'ailleurs certains aspects. Cela étant, celle-ci s'en prend en réalité d'une part à l'appréciation des preuves, d'autre part à la manière dont la cour cantonale a fixé le dommage, le cas échéant en le déterminant en équité, question d'application du droit fédéral qui ne saurait être confondue avec le grief de violation du droit d'être entendu.</w:t>
      </w:r>
    </w:p>
    <w:p>
      <w:r>
        <w:rPr>
          <w:b/>
        </w:rPr>
        <w:t>E. 4</w:t>
      </w:r>
    </w:p>
    <w:p>
      <w:r>
        <w:t>La recourante se plaint en outre de ce que la cour cantonale aurait établi de façon manifestement inexacte des faits pertinents et essentiels pour le sort de la cause.</w:t>
      </w:r>
    </w:p>
    <w:p>
      <w:r>
        <w:rPr>
          <w:b/>
        </w:rPr>
        <w:t>E. 4.1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(Message concernant la révision totale de l'organisation judiciaire fédérale du 28 février 2001, FF 2001 p. 4000 ss, spéc.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4.2</w:t>
      </w:r>
    </w:p>
    <w:p>
      <w:r>
        <w:t>La recourante reproche premièrement à la cour cantonale de ne pas avoir tranché la question de savoir à quelle date l'intimé avait été promu directeur, point pourtant décisif pour l'issue du litige, puisque si la date du 1er janvier 2002 était retenue, ce serait bien l'intimé, en sa qualité de directeur unique de la société, qui serait seul responsable de la mauvaise situation financière de celle-ci. La critique de la recourante tombe à faux. En effet, la cour cantonale a retenu en fait que celle-ci avait exposé à l'intimé qu'elle devait résilier son contrat de travail en raison notamment de problèmes financiers. Elle a par ailleurs considéré que l'instruction n'avait pas permis de tenir pour établis les manquements imputés à l'employé. La recourante n'avait ainsi pas démontré que le comportement de l'intimé aurait justifié le licenciement, ni exclusivement, ni même de manière prépondérante, en raison de ses manquements. Or, la recourante ne démontre pas en quoi la cour cantonale aurait ainsi commis arbitraire. Faute d'incidence sur l'issue du litige, la précision sollicitée par la recourante ne saurait donc être retenue.</w:t>
      </w:r>
    </w:p>
    <w:p>
      <w:r>
        <w:rPr>
          <w:b/>
        </w:rPr>
        <w:t>E. 4.3</w:t>
      </w:r>
    </w:p>
    <w:p>
      <w:r>
        <w:t>La recourante fait ensuite grief aux juges cantonaux d'avoir calculé le montant du dommage de l'intimé en se fondant sur un salaire mensuel brut et non net de 7'500 fr. S'il a certes été établi que le dernier salaire de l'intimé s'élevait à 7'500 fr. brut, il n'est pas déterminant que la cour cantonale se soit fondée sur un montant net ou brut, dès lors qu'elle a arrêté le montant de l'indemnité allouée à l'intimé en équité et en retenant ça et là des chiffre arrondis, ce qu'il lui était loisible de faire en application de l' art. 42 al. 2 CO . Dès lors, quelques inexactitudes dans les chiffres n'avaient guère d'importance, l'essentiel étant que les précédents juges n'aient pas outrepassé leur pouvoir d'appréciation et, partant, violé le droit fédéral en arrêtant le montant de l'indemnité allouée à l'intimé. Le moyen est ainsi dénué de fondement.</w:t>
      </w:r>
    </w:p>
    <w:p>
      <w:r>
        <w:rPr>
          <w:b/>
        </w:rPr>
        <w:t>E. 4.4</w:t>
      </w:r>
    </w:p>
    <w:p>
      <w:r>
        <w:t>La recourante reproche en outre à la cour cantonale d'avoir retenu qu'au cours de l'entretien du 8 octobre 2004, son administrateur avait essentiellement exposé à l'intimé des motifs d'ordre financier pour justifier son licenciement; elle soutient que la véritable raison de la résiliation du contrat de l'intimé était le comportement de celui-ci, « incompatible avec ses fonctions de directeur et préjudiciable à la société ». Sur ce point, la recourante tente vainement de faire prévaloir sa propre version des faits sur celle retenue par la cour cantonale, qui est parvenue à la conclusion que ni les enquêtes conduites en première instance, ni les pièces produites ne permettaient de tenir pour établis les manquements imputés à l'intimé. Or, la recourante ne démontre pas en quoi les constatations des juges cantonaux seraient arbitraires. Purement appellatoire, sa critique ne saurait être prise en considération.</w:t>
      </w:r>
    </w:p>
    <w:p>
      <w:r>
        <w:rPr>
          <w:b/>
        </w:rPr>
        <w:t>E. 4.5</w:t>
      </w:r>
    </w:p>
    <w:p>
      <w:r>
        <w:t>Selon la recourante, la cour cantonale aurait ensuite constaté à tort que la question de la prohibition de concurrence n'avait pas été abordée lors de l'entretien du 8 octobre 2004; elle expose que le décompte de ce jour-là contient en page 3 la mention selon laquelle « (l'intimé) s'engage à rediriger l'intégralité des clients appelant sur son numéro de portable directement vers (la recourante) » et soutient que cette formule reprend, certes de façon abrégée, l'essentiel de la clause de prohibition de concurrence. Force est d'admettre que le passage mentionné par la recourante, phrase qui ne saurait être considérée comme le résumé de la clause litigieuse, est impropre à démontrer que la question du maintien ou de l'abandon de celle-ci aurait été abordée lors de l'entrevue du 8 octobre 2004. Peu importe, toutefois, dès lors que la cour cantonale a considéré en droit que même dans l'hypothèse où la question de la prohibition de concurrence avait bien été mentionnée dans les négociations entre les parties au moment du licenciement, l'employeur aurait alors la charge de démontrer que l'employé avait donné un motif justifié de congé, ce en quoi il a échoué. Faute d'incidence sur le sort de la querelle, le grief de la recourante ne peut qu'être écarté.</w:t>
      </w:r>
    </w:p>
    <w:p>
      <w:r>
        <w:rPr>
          <w:b/>
        </w:rPr>
        <w:t>E. 4.6</w:t>
      </w:r>
    </w:p>
    <w:p>
      <w:r>
        <w:t>La recourante sollicite en outre la rectification de l'état de fait en ce sens que le certificat de travail établi le 15 février 2005 ne serait qu'un projet, qui plus est établi par un actionnaire non habilité à engager la société. Statuant après instruction sur la conclusion de l'intimé en rectification de son certificat de travail, la cour cantonale a ordonné à la recourante de délivrer à son ancien collaborateur un document conforme à celui du 15 février 2005, sous réserve de la suppression des mots « et à la clause de non-concurrence ». Elle a ainsi déterminé le libellé qu'il convenait de donner au certificat de travail et il importe peu qu'elle se soit à cet effet fondée sur un projet ou une version définitive, établie ou non par un organe de la société. En ce sens, la constatation incriminée n'influe en rien sur l'issue du litige, de sorte que la rectification litigieuse n'a pas lieu d'être ordonnée.</w:t>
      </w:r>
    </w:p>
    <w:p>
      <w:r>
        <w:rPr>
          <w:b/>
        </w:rPr>
        <w:t>E. 4.7</w:t>
      </w:r>
    </w:p>
    <w:p>
      <w:r>
        <w:t>Selon la recourante, la cour cantonale aurait inexactement constaté que l'administrateur de la recourante n'avait pas précisé pourquoi il tenait l'intimé pour responsable des difficultés financières que connaissait la société; il ressortirait en effet de ses écritures que cela tenait au fait que celui-ci était directeur et qu'en cette qualité, il aurait dû prendre toutes les mesures nécessaires pour limiter les charges et les dépenses de ladite société. Derechef, la recourante méconnaît que la cour cantonale a retenu souverainement que l'intimé avait été licencié pour des raisons économiques, à l'exclusion de motifs - non établis - qui lui seraient imputables, et échoue à démontrer en quoi celle-ci aurait commis arbitraire en faisant ces constatations. Strictement appellatoire, sa critique n'est pas pertinente.</w:t>
      </w:r>
    </w:p>
    <w:p>
      <w:r>
        <w:rPr>
          <w:b/>
        </w:rPr>
        <w:t>E. 4.8</w:t>
      </w:r>
    </w:p>
    <w:p>
      <w:r>
        <w:t>La recourante fait encore grief à la cour d'appel d'avoir retenu que ses organes auraient sinon entériné, du moins toléré les agissements qu'elle reprochait à l'intimé; elle revient sur les motifs qui ont selon elle guidé le licenciement de celui-ci. Cette critique n'est pas déterminante pour le sort de la cause. La cour cantonale n'a en effet avancé cette théorie que par surabondance, soit dans l'hypothèse où les manquements reprochés à l'intimé auraient été établis, ce qui n'était toutefois pas le cas.</w:t>
      </w:r>
    </w:p>
    <w:p>
      <w:r>
        <w:rPr>
          <w:b/>
        </w:rPr>
        <w:t>E. 4.9</w:t>
      </w:r>
    </w:p>
    <w:p>
      <w:r>
        <w:t>La recourante relève enfin que, s'agissant des gains perçus par l'intimé depuis son licenciement, celui-ci avait affirmé avoir reçu 2'020 fr. et admis que cette somme devait être imputée sur ce qui lui serait alloué en justice, ce dont la cour cantonale n'aurait pas tenu compte. La recourante n'indique toutefois pas d'où découlerait que l'intimé aurait admis une telle imputation, ce qui ne ressort par ailleurs pas de l'état de fait souverain. Par conséquent, il n'y a pas lieu à rectification.</w:t>
      </w:r>
    </w:p>
    <w:p>
      <w:r>
        <w:rPr>
          <w:b/>
        </w:rPr>
        <w:t>E. 5</w:t>
      </w:r>
    </w:p>
    <w:p>
      <w:r>
        <w:t>En dernier lieu, la recourante reproche aux juges cantonaux d'avoir violé les art. 340 à 340c CO. En substance, elle conteste que la clause de prohibition de concurrence litigieuse ait cessé de déployer ses effets au moment du licenciement de l'intimé; elle part de la prémisse que la responsabilité de la résiliation des rapports de travail repose uniquement sur la personne de son ancien collaborateur, dont les comportements fautifs seraient selon elle avérés.</w:t>
      </w:r>
    </w:p>
    <w:p>
      <w:r>
        <w:rPr>
          <w:b/>
        </w:rPr>
        <w:t>E. 5.1</w:t>
      </w:r>
    </w:p>
    <w:p>
      <w:r>
        <w:t>Une clause de prohibition de faire concurrence valablement conclue devient caduque lorsque l'employeur congédie le travailleur sans que celui-ci ait donné un motif valable pour ce licenciement, ou lorsque le travailleur a résilié le contrat pour un motif justifié imputable à l'employeur ( art. 340c al. 2 CO ). Il ne faut toutefois pas confondre ce motif justifié avec le juste motif donnant lieu à un licenciement avec effet immédiat selon l' art. 337 CO . Ne sont des motifs justifiés au sens de l' art. 340c al. 2 CO que les événements qui ont été causés par la partie adverse, ou à tout le moins dont elle doit répondre. Est considéré comme un motif justifié au sens de l'art. 340c al. 2 tout événement imputable à l'autre partie qui, selon des considérations commerciales raisonnables, peut donner une raison suffisante pour un licenciement. Il n'est pas nécessaire qu'il s'agisse d'une violation contractuelle en tant que telle. Ainsi, la prohibition de faire concurrence tombe en cas de résiliation par le travailleur lorsque, par exemple, cette résiliation fait suite à une baisse de salaire importante par comparaison des habitudes du marché, à des reproches continuels ou à un mauvais climat permanent ( ATF 130 III 353 consid. 2.2.1 p. 359 s. et les références citées).</w:t>
      </w:r>
    </w:p>
    <w:p>
      <w:r>
        <w:rPr>
          <w:b/>
        </w:rPr>
        <w:t>E. 5.2</w:t>
      </w:r>
    </w:p>
    <w:p>
      <w:r>
        <w:t>Dans la mesure où il a été constaté, sans que la recourante, qui tente une nouvelle fois de faire prévaloir sa propre version des événements, parvienne à démontrer en quoi les faits auraient été établis de façon manifestement inexacte, que l'intimé avait été licencié pour des motifs économiques - étant précisé que tant les motifs de la résiliation que l'incidence respective de plusieurs motifs de résiliation, s'ils se trouvent en concours, relèvent du fait ( ATF 130 III 699 consid. 4.1 p. 702 s.) -, et que les manquements qui étaient reprochés à celui-ci n'étaient pas avérés, la cour cantonale n'a nullement violé le droit fédéral en considérant que l' art. 340c al. 2 CO trouvait en l'espèce application, de sorte que la clause de prohibition de concurrence litigieuse avait cessé avec la résiliation. Compte tenu du fait que la recourante a dès lors indûment maintenu cette clause, dont elle s'est prévalue tant auprès de l'office régional de placement que de ses clients et nouveaux employeurs potentiels de l'intimé, c'est à juste titre que les précédents juges ont alloué à celui-ci une indemnité en réparation du dommage, dont le montant n'est pas en tant que tel remis en cause pas la recourante, si bien que le Tribunal de céans n'a pas à y revenir. Pour le surplus, en l'absence de clause de prohibition de concurrence efficace, le rejet des conclusions reconventionnelles en paiement de l'amende conventionnelle pour violation de la prohibition de concurrence ne peut qu'être confirmé, de même que la condamnation de la recourante à remettre à l'intimé un certificat de travail dans lequel elle aura supprimé la mention de la clause en question, et qu'elle libellera pour le reste conformément à la teneur de celui rédigé le 15 février 2005. La cour cantonale s'est en effet dit convaincue que cette version reflétait la réalité et c'est en vain que la recourante, invoquant l' art. 330a CO , tente de soutenir le contraire.</w:t>
      </w:r>
    </w:p>
    <w:p>
      <w:r>
        <w:rPr>
          <w:b/>
        </w:rPr>
        <w:t>E. 6</w:t>
      </w:r>
    </w:p>
    <w:p>
      <w:r>
        <w:t>En définitive, le recours doit être rejeté.</w:t>
      </w:r>
    </w:p>
    <w:p>
      <w:r>
        <w:rPr>
          <w:b/>
        </w:rPr>
        <w:t>E. 7</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