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4A_259/2024 vom 22. Mai 2024</w:t>
      </w:r>
    </w:p>
    <w:p>
      <w:r>
        <w:t>Bundesgericht, 2024-05-22, FR</w:t>
      </w:r>
    </w:p>
    <w:p>
      <w:r>
        <w:rPr>
          <w:b/>
        </w:rPr>
        <w:t xml:space="preserve">Quelle: </w:t>
      </w:r>
      <w:r>
        <w:t>https://mcp.opencaselaw.ch/entscheid/bger_4A_259_2024</w:t>
      </w:r>
    </w:p>
    <w:p>
      <w:r>
        <w:t>FR: TF 4A_259/2024 du 22 mai 2024</w:t>
      </w:r>
    </w:p>
    <w:p>
      <w:r>
        <w:t>IT: TF 4A_259/2024 del 22 maggio 2024</w:t>
      </w:r>
    </w:p>
    <w:p>
      <w:pPr>
        <w:pStyle w:val="Heading2"/>
      </w:pPr>
      <w:r>
        <w:t>Erwägungen</w:t>
      </w:r>
    </w:p>
    <w:p>
      <w:r>
        <w:rPr>
          <w:b/>
        </w:rPr>
        <w:t>E. 1</w:t>
      </w:r>
    </w:p>
    <w:p>
      <w:r>
        <w:t>Par décision du 15 février 2024, le Tribunal civil des Montagnes et du Val-de-Ruz a ordonné l'expulsion de A.________ et de B.________ des locaux qu'ils occupent illicitement à U.________.</w:t>
      </w:r>
    </w:p>
    <w:p>
      <w:r>
        <w:rPr>
          <w:b/>
        </w:rPr>
        <w:t>E. 2</w:t>
      </w:r>
    </w:p>
    <w:p>
      <w:r>
        <w:t>Le 15 mars 2024, A.________ et B.________ ont recouru contre cette décision.</w:t>
      </w:r>
    </w:p>
    <w:p>
      <w:r>
        <w:t>Statuant par arrêt du 12 avril 2024, la Cour civile du Tribunal cantonal du canton de Neuchâtel a déclaré le recours irrecevable. En bref, elle a constaté que la décision attaquée avait été envoyée aux recourants le 21 février 2024 et réceptionnée à l'office postal de retrait le 23 février 2024. Une fois le délai de garde postal de sept jours écoulé, les recourants auraient dû déposer leur mémoire de recours dans les 10 jours, ce qu'ils n'avaient pas fait. Leur recours était ainsi tardif et, partant, irrecevable.</w:t>
      </w:r>
    </w:p>
    <w:p>
      <w:r>
        <w:rPr>
          <w:b/>
        </w:rPr>
        <w:t>E. 3</w:t>
      </w:r>
    </w:p>
    <w:p>
      <w:r>
        <w:t>Le 6 mai 2024, A.________ et B.________ (ci-après: les recourants) ont formé un recours au Tribunal fédéral contre cet arrêt. Ils ont également sollicité leur mise au bénéfice de l'assistance judiciaire pour la procédure fédérale.</w:t>
      </w:r>
    </w:p>
    <w:p>
      <w:r>
        <w:t>Le Tribunal fédéral n'a pas requis le dépôt d'une réponse au recours.</w:t>
      </w:r>
    </w:p>
    <w:p>
      <w:r>
        <w:rPr>
          <w:b/>
        </w:rPr>
        <w:t>E. 4</w:t>
      </w:r>
    </w:p>
    <w:p>
      <w:r>
        <w:t>Le Tribunal fédéral examine d'office et librement la recevabilité des recours qui lui sont soumis ( ATF 139 III 252 consid. 1.1).</w:t>
      </w:r>
    </w:p>
    <w:p>
      <w:r>
        <w:rPr>
          <w:b/>
        </w:rPr>
        <w:t>E. 4.1</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4.2</w:t>
      </w:r>
    </w:p>
    <w:p>
      <w:r>
        <w:t>En l'occurrence, les exigences de motivation du recours ne sont manifestement pas remplies. Les recourants ne démontrent nullement en quoi la cour cantonale aurait violé le droit fédéral. L'argumentation développée par les intéressés ne permet en effet pas d'établir que la juridiction cantonale aurait enfreint le droit fédéral lors de la computation du délai de recours. Les recourants se limitent, en pure perte, à formuler des critiques qui reposent sur des faits qui s'écartent de ceux constatés souverainement par l'autorité précédente, sans soutenir ni</w:t>
      </w:r>
    </w:p>
    <w:p>
      <w:r>
        <w:t>a fortiori démontrer que ceux-ci auraient été établis arbitrairement. Tel est notamment le cas lorsqu'ils prétendent, en substance, qu'ils n'auraient pas pu prendre connaissance de la décision attaquée auprès de la cour cantonale avant le 12 mars 2024. Il suit de là que le présent recours est irrecevable, ce qu'il convient de constater selon la procédure simplifiée de l' art. 108 al. 1 let. b LTF .</w:t>
      </w:r>
    </w:p>
    <w:p>
      <w:r>
        <w:rPr>
          <w:b/>
        </w:rPr>
        <w:t>E. 5</w:t>
      </w:r>
    </w:p>
    <w:p>
      <w:r>
        <w:t>Comme le recours soumis à l'examen du Tribunal fédéral était voué à l'échec, la requête d'assistance judiciaire présentée par les intéressés ne peut qu'être rejetée ( art. 64 al. 1 LTF ). Par conséquent, les recourants supporteront, solidairement entre eux, les frais judiciaires de la présente procédure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