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4A_259/2015 vom 8. Juli 2016</w:t>
      </w:r>
    </w:p>
    <w:p>
      <w:r>
        <w:t>Bundesgericht, 2016-07-08, IT</w:t>
      </w:r>
    </w:p>
    <w:p>
      <w:r>
        <w:rPr>
          <w:b/>
        </w:rPr>
        <w:t xml:space="preserve">Quelle: </w:t>
      </w:r>
      <w:r>
        <w:t>https://mcp.opencaselaw.ch/entscheid/bger_4A_259_2015</w:t>
      </w:r>
    </w:p>
    <w:p>
      <w:r>
        <w:t>FR: TF 4A_259/2015 du 8 juillet 2016</w:t>
      </w:r>
    </w:p>
    <w:p>
      <w:r>
        <w:t>IT: TF 4A_259/2015 del 8 luglio 2016</w:t>
      </w:r>
    </w:p>
    <w:p>
      <w:pPr>
        <w:pStyle w:val="Heading2"/>
      </w:pPr>
      <w:r>
        <w:t>Erwägungen</w:t>
      </w:r>
    </w:p>
    <w:p>
      <w:r>
        <w:rPr>
          <w:b/>
        </w:rPr>
        <w:t>E. 1.1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Il ricorso in materia civile è stato steso in italiano, ragione per cui la presente sentenza viene emanata in tale lingua.</w:t>
      </w:r>
    </w:p>
    <w:p>
      <w:r>
        <w:rPr>
          <w:b/>
        </w:rPr>
        <w:t>E. 1.2</w:t>
      </w:r>
    </w:p>
    <w:p>
      <w:r>
        <w:t>L' art. 77 cpv. 1 LTF ammette il ricorso in materia civile contro le decisioni arbitrali alle condizioni poste dagli art. da 190 a 192 della legge federale del 18 dicembre 1987 sul diritto internazionale privato (LDIP). Questa legge è applicabile perché, come risulta pacificamente dal lodo impugnato, la sede dell'arbitrato è a Lugano e una delle parti, al momento della stipulazione del patto di arbitrato, aveva la sua sede in Italia ( art. 176 cpv. 1 LDIP ). Sono inoltre applicabili le disposizioni del capitolo 12 della LDIP, non avendo le parti esplicitamente escluso la loro applicabilità ( art. 176 cpv. 2 LDIP ).</w:t>
      </w:r>
    </w:p>
    <w:p>
      <w:r>
        <w:rPr>
          <w:b/>
        </w:rPr>
        <w:t>E. 1.3</w:t>
      </w:r>
    </w:p>
    <w:p>
      <w:r>
        <w:t>Il ricorso è tempestivo (art. 46 cpv. 1 lett. a combinato con l' art. 100 cpv. 1 LTF ) ed è volto contro la decisione finale del tribunale arbitrale ( art. 90 LTF ) in una causa civile ( art. 72 cpv. 1 LTF ). La ricorrente, soccombente nella procedura arbitrale, ha il diritto di ricorrere ( art. 76 cpv. 1 LTF ).</w:t>
      </w:r>
    </w:p>
    <w:p>
      <w:r>
        <w:rPr>
          <w:b/>
        </w:rPr>
        <w:t>E. 1.4</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1.5</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come era già il caso sotto la legge federale sull'organizzazione giudiziaria (cfr. DTF 129 III 727 consid. 5.2.2; 128 III 50 consid. 2a, con rinvii),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w:t>
      </w:r>
    </w:p>
    <w:p>
      <w:r>
        <w:t>Giova inoltre rilevare che gli accertamenti del tribunale arbitrale concernenti lo svolgimento della procedura vincolano il Tribunale federale con le medesime riserve, sia che attengano alle conclusioni, ai fatti allegati, alle spiegazioni giuridiche delle parti, alle dichiarazioni fatte nel corso della procedura e alle richieste di prova, sia che concernino il contenuto di una deposizione testimoniale e di una perizia o, ancora, le informazioni raccolte nel corso di un sopralluogo (sentenza 4A_342/2015 del 26 aprile 2016 consid. 3, con rinvii).</w:t>
      </w:r>
    </w:p>
    <w:p>
      <w:r>
        <w:rPr>
          <w:b/>
        </w:rPr>
        <w:t>E. 2</w:t>
      </w:r>
    </w:p>
    <w:p>
      <w:r>
        <w:t>Nel corso della procedura il Tribunale arbitrale ha affidato a una fiduciaria il compito di allestire una perizia, dando nel contempo pure la facoltà alle parti di nominare i propri esperti. La perizia intitolata "judicial expert report plus parties experts comments" (referto I) è stata emanata il 14 febbraio 2014. A seguito delle osservazioni delle parti, il tribunale arbitrale ha posto ulteriori domande alla perita. Le riposte sono contenute in un documento intitolato "further details on judicial expert report" datato 24 ottobre 2014 (referto II), che il Tribunale arbitrale ha trasmesso alle parti con ordinanza della medesima data in cui ha pure dichiarato chiusa la procedura e accordato la possibilità d'inoltrare osservazioni sulle risultanze istruttorie e sul merito della vertenza. Il 23 dicembre 2014 le parti hanno prodotto i loro allegati conclusivi.</w:t>
      </w:r>
    </w:p>
    <w:p>
      <w:r>
        <w:t>Quando ha esaminato quali costi di vendita possono essere dedotti dal reddito netto su cui vanno calcolate le royalties, il Collegio arbitrale ha rilevato che l'attrice non discute le cifre del complemento peritale 24 ottobre 2014, mentre la convenuta ha contestato ("to challenge") con il suo allegato conclusionale entrambi i referti e ha ritenuto che ciò sia inammissibile da un punto di vista procedurale. Ha indicato che pure l'esperto nominato dalla convenuta era coinvolto nell'analisi fatta dalla perita giudiziaria e che essa avrebbe potuto mettere in dubbio la posizione di quest'ultima dopo la ricezione del referto I, tanto più che la metodologia all'esame era già stata ampiamente adottata in tale perizia. Il Tribunale arbitrale ha rilevato che avrebbe potuto giungere a un'altra conclusione se la perizia avesse avuto carenze tali da non poter essere utilizzata come prova, scenario che ha però escluso, atteso che essa appare logica, accurata e chiara. Esso ha quindi dichiarato inammissibili le obbiezioni della convenuta riguardanti il referto II e gli allegati R-203, R-204 e R-205.</w:t>
      </w:r>
    </w:p>
    <w:p>
      <w:r>
        <w:rPr>
          <w:b/>
        </w:rPr>
        <w:t>E. 3.1</w:t>
      </w:r>
    </w:p>
    <w:p>
      <w:r>
        <w:t>La ricorrente invoca l'art. 190 cpv. 2 lett. d LDIP e lamenta una violazione del diritto di essere sentita e un diniego di giustizia, perché il Tribunale arbitrale non avrebbe ammesso le sue osservazioni sul referto II e le tabelle allegate con cui venivano evidenziati gli errori riscontrati nella predetta integrazione, la quale avrebbe contenuto due nuove categorie di costi. Sostiene di non aver quindi potuto far valere il suo punto di vista su una questione pertinente ai fini del giudizio.</w:t>
      </w:r>
    </w:p>
    <w:p>
      <w:r>
        <w:rPr>
          <w:b/>
        </w:rPr>
        <w:t>E. 3.2</w:t>
      </w:r>
    </w:p>
    <w:p>
      <w:r>
        <w:t>Il diritto di essere sentito, garantito dagli art. 182 cpv. 3 e 190 cpv. 2 lett. d LDIP ha, in linea di principio, il medesimo contenuto del diritto costituzionale previsto dall' art. 29 cpv. 2 Cost. ( DTF 130 III 35 consid. 5; 128 III 234 consid. 4b; 127 III 576 consid. 2c). La giurisprudenza ne ha dedotto che ogni parte ha il diritto di esprimersi sui fatti essenziali per il giudizio, di presentare la sua argomentazione giuridica, di proporre i suoi mezzi di prova sui fatti pertinenti e di partecipare alle udienze del tribunale arbitrale ( DTF 133 III 139 consid. 6.1). Sebbene il diritto di essere sentito non imponga al tribunale arbitrale di motivare una sentenza emanata nella giurisdizione internazionale, questo ha tuttavia il dovere di esaminare e trattare i problemi pertinenti. Tale dovere è violato quando per inavvertenza o malinteso, il tribunale arbitrale non considera allegati, argomenti e prove presentati da una delle parti e importanti per il lodo ( DTF 133 III 235 consid. 5.2).</w:t>
      </w:r>
    </w:p>
    <w:p>
      <w:r>
        <w:t>Nella fattispecie la critica ricorsuale si rivela infondata. La ricorrente riconosce di aver ricevuto il referto II, quando le è stata concessa la facoltà, con decreto 24 ottobre 2014, d'inoltrare delle osservazioni sulle risultanze istruttorie e sul merito della vertenza e nemmeno afferma che il suo allegato conclusivo sia stato ignorato. Il fatto che il tribunale arbitrale abbia ritenuto irricevibili le sue obiezioni, con le relative tabelle, concernenti le cifre contenute nel complemento peritale, esula dal motivo di ricorso invocato, atteso che tali obiezioni attengono alla correttezza materiale della perizia e riguardano quindi la valutazione delle prove (cfr. DTF 141 IV 369 consid. 6.1, con rinvii). Ciò emerge peraltro pure dal testo del lodo in cui il tribunale arbitrale ha espressamente indicato che sarebbe giunto a una conclusione diversa nell'ipotesi, in concreto non realizzatasi, in cui la perizia avesse avuto carenze tali da non poter essere utilizzata quale prova. Tale concezione corrisponde peraltro alla giurisprudenza del Tribunale federale secondo cui il giudice può unicamente scostarsi dalle risultanze peritali se sussistono validi motivi ( DTF 141 IV 369 consid. 6.1, con rinvii).</w:t>
      </w:r>
    </w:p>
    <w:p>
      <w:r>
        <w:rPr>
          <w:b/>
        </w:rPr>
        <w:t>E. 4</w:t>
      </w:r>
    </w:p>
    <w:p>
      <w:r>
        <w:t>Da quanto precede discende che il ricorso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