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259/2011 vom 3. August 2011</w:t>
      </w:r>
    </w:p>
    <w:p>
      <w:r>
        <w:t>Bundesgericht, 2011-08-03, DE</w:t>
      </w:r>
    </w:p>
    <w:p>
      <w:r>
        <w:rPr>
          <w:b/>
        </w:rPr>
        <w:t xml:space="preserve">Quelle: </w:t>
      </w:r>
      <w:r>
        <w:t>https://mcp.opencaselaw.ch/entscheid/bger_4A_259_2011</w:t>
      </w:r>
    </w:p>
    <w:p>
      <w:r>
        <w:t>FR: TF 4A 259/2011 du 3 août 2011</w:t>
      </w:r>
    </w:p>
    <w:p>
      <w:r>
        <w:t>IT: TF 4A 259/2011 del 3 agosto 2011</w:t>
      </w:r>
    </w:p>
    <w:p>
      <w:pPr>
        <w:pStyle w:val="Heading2"/>
      </w:pPr>
      <w:r>
        <w:t>Regeste</w:t>
      </w:r>
    </w:p>
    <w:p>
      <w:r>
        <w:t>Kaufvertrag | Vertragsrecht</w:t>
      </w:r>
    </w:p>
    <w:p>
      <w:pPr>
        <w:pStyle w:val="Heading2"/>
      </w:pPr>
      <w:r>
        <w:t>Erwägungen</w:t>
      </w:r>
    </w:p>
    <w:p>
      <w:r>
        <w:rPr>
          <w:b/>
        </w:rPr>
        <w:t>E. 1.1</w:t>
      </w:r>
    </w:p>
    <w:p>
      <w:r>
        <w:t>Die Vorinstanz stützte die Abweisung der Klage auf eine Doppelbegründung. In einer ersten Begründung erachtete sie den Kaufvertrag als nichtig, weil sie es für erwiesen hielt, dass E. Q.________ diesen Vertrag im Zustand der Urteilsunfähigkeit (zufolge Demenz) unterzeichnet habe. Die Gegenbeweismittel der Beschwerdeführer vermochten diesen Schluss nicht zu widerlegen und konnten auch kein luzides Intervall für den fraglichen Zeitpunkt nachweisen. Die Vorinstanz hielt es ferner für erwiesen, dass C. Q.________ den Vertrag ohne Mitwirkung ihres Ehemannes nicht geschlossen hätte. Damit habe der Nachweis der Urteilsunfähigkeit des Ehemannes bei Vertragsschluss die Nichtigkeit des Vertrags auch gegenüber C. Q.________ zur Folge. Da der Kaufvertrag vom 29. Juli 2004 nichtig sei, sei der Klageforderung die Grundlage entzogen und die Klage abzuweisen. In einer zweiten selbständigen Begründung erwog die Vorinstanz, die Klage sei auch aus einem anderen Grund abzuweisen: Der Vertrag sei wegen Nichteintritts einer in Ziffer 6 des Vertrags vorgesehenen Bedingung nicht zustande gekommen, die wie folgt lautet: "Es wird vereinbart, dass dieser Kaufpreis sofort nach Unterzeichnung dieses Kaufvertrags auf das Konto von B. &amp; A. X.________ bei der Bank S.________, Konto-Nr. xxx.________ einbezahlt wird. Der Kaufvertrag wird demnach mit dem Zahlungseingang rechtskräftig und die Verkäufer verpflichten sich, die notwendigen Übertragungen der verschiedenen Verträge vorzunehmen." Die Vorinstanz hielt den Beweis für den von den Beschwerdeführern behaupteten übereinstimmenden Parteiwillen für nicht erbracht, dass mit dieser Vertragsbestimmung nur eine Vorleistungspflicht bezüglich des Kaufpreises, aber keine Bedingung für das Zustandekommen des Vertrages vereinbart worden sei. Sie legte die Bestimmung daher nach dem Vertrauensprinzip aus, wobei sie erwog, Ziffer 6 des Vertrags sei so zu verstehen, dass erst die Zahlung des Kaufpreises den Vertrag "rechtskräftig", d.h. verbindlich mache. Dies könne nur den Sinn haben, dass das verbindliche Einverständnis erst mit der Zahlung des vollen Kaufpreises erfolgen sollte. Mithin sei die Zahlung eine Bedingung für das Entstehen des Vertrags gewesen. Da diese Bedingung nicht eingetreten sei, sei der Kaufvertrag nicht rechtsgültig zustande gekommen. Mithin fehle es auch deswegen an einer rechtlichen Grundlage für den klägerischen Anspruch, was ebenfalls dazu führe, dass die Klage abzuweisen sei.</w:t>
      </w:r>
    </w:p>
    <w:p>
      <w:r>
        <w:rPr>
          <w:b/>
        </w:rPr>
        <w:t>E. 1.2</w:t>
      </w:r>
    </w:p>
    <w:p>
      <w:r>
        <w:t>Beruht der angefochtene Entscheid auf mehreren selbständigen Begründungen, die je für sich den Ausgang des Rechtsstreits besiegeln, so hat der Beschwerdeführer darzulegen, dass jede von ihnen Recht verletzt; andernfalls kann auf die Beschwerde nicht eingetreten werden ( BGE 133 IV 119 E. 6.3; vgl. auch BGE 136 III 534 E. 2.2 S. 535 f.).</w:t>
      </w:r>
    </w:p>
    <w:p>
      <w:r>
        <w:rPr>
          <w:b/>
        </w:rPr>
        <w:t>E. 1.3</w:t>
      </w:r>
    </w:p>
    <w:p>
      <w:r>
        <w:t>Der vorliegenden Beschwerde ist eine rechtsgenügliche Anfechtung der zweiten Begründung kaum zu entnehmen. Dies stellt bereits das Eintreten auf die Beschwerde in Frage. Ohnehin wären aber die Vorbringen gegen die zweite Urteilsmotivation als unbegründet abzuweisen. Die Beschwerdeführer tragen diesbezüglich vor, selbst wenn davon ausgegangen werde, dass Ziffer 6 des Kaufvertrags eine Resolutivbedingung enthalte (bestritten), hätten die Parteien in der Folge auf die Geltendmachung dieser Bedingung verzichtet, indem die Käufer am 19. August 2004 eine Tranche im Betrag von Fr. 150'000.-- an die Beschwerdeführer überwiesen und diese die Zahlung angenommen sowie hierauf die Übertragung der Kaufgegenstände mehrfach angeboten hätten. Mit letzterer Behauptung erweitern die Beschwerdeführer den für das Bundesgericht verbindlich festgestellten Sachverhalt ( Art. 105 Abs. 1 BGG ) in unzulässiger Weise (vgl. BGE 135 III 397 E. 1.5; 133 II 249 E. 1.4.3; 133 III 393 E. 7.1), hat die Vorinstanz doch nicht festgestellt, dass die Beschwerdeführer die Übertragung der Kaufgegenstände nach der Zahlung des Betrags von Fr. 150'000.-- mehrfach angeboten hätten. Darauf kann nicht abgestellt werden. Die Teilzahlung von Fr. 150'000.-- hat die Vorinstanz im Rahmen der Prüfung des von den Beschwerdeführern behaupteten tatsächlichen Parteiwillens berücksichtigt und zu Recht als blossen Beleg für eine Zahlungsabsicht bzw. einen Zahlungswillen gewürdigt. Allein aus dieser Teilzahlung kann jedoch nicht abgeleitet werden, die Parteien hätten auf die Bedingung nach Ziffer 6 des Kaufvertrags verzichtet. Für die Annahme eines solchen Verzichts fehlen schlüssige Anhaltspunkte und das entsprechende Tatsachenfundament. Auch vermögen die Beschwerdeführer die Auslegung der Vorinstanz nicht als bundesrechtswidrig auszuweisen, indem sie ihr lediglich die Behauptung entgegensetzen, Ziffer 6 sei allein deshalb in den Vertrag aufgenommen worden, um die Beschwerdeführer davor zu schützen, den Kaufgegenstand auf die Käuferschaft übertragen zu müssen, bevor eine (Teil-)Zahlung erfolgt sei. Sie erneuern damit lediglich ihre Ansicht, gemäss übereinstimmendem tatsächlichen Willen der Vertragsparteien habe Ziffer 6 des Vertrags eine Vorleistungspflicht der Käufer beinhalten sollen. Laut Vorinstanz misslang den Beschwerdeführern der Beweis für einen solchen übereinstimmenden Parteiwillen, was eine Auslegung nach dem Vertrauensprinzip notwendig machte. Inwiefern die Vorinstanz dabei Bundesrecht verletzt haben sollte, begründen die Beschwerdeführer nicht und ist nicht ersichtlich.</w:t>
      </w:r>
    </w:p>
    <w:p>
      <w:r>
        <w:rPr>
          <w:b/>
        </w:rPr>
        <w:t>E. 1.4</w:t>
      </w:r>
    </w:p>
    <w:p>
      <w:r>
        <w:t>Die zweite Begründung des angefochtenen Entscheids hält demnach der bundesgerichtlichen Überprüfung stand. Sie vermag die Klageabweisung allein zu stützen. Damit erübrigt es sich, auf die Kritik der Beschwerdeführer gegen die erste Begründung der Vorinstanz einzugehen.</w:t>
      </w:r>
    </w:p>
    <w:p>
      <w:r>
        <w:rPr>
          <w:b/>
        </w:rPr>
        <w:t>E. 2</w:t>
      </w:r>
    </w:p>
    <w:p>
      <w:r>
        <w:t>Die Beschwerde ist abzuweisen, soweit darauf einzutreten ist. Bei diesem Ausgang des Verfahrens werden die Beschwerdeführer kostenpflichtig ( Art. 66 Abs. 1 und 5 BGG ). Mangels Einholung einer Beschwerdeantwort erwuchs der Beschwerdegegnerin für das bundesgerichtliche Verfahren kein Aufwand,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