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4A_258/2024 vom 24. Mai 2024</w:t>
      </w:r>
    </w:p>
    <w:p>
      <w:r>
        <w:t>Bundesgericht, 2024-05-24, DE</w:t>
      </w:r>
    </w:p>
    <w:p>
      <w:r>
        <w:rPr>
          <w:b/>
        </w:rPr>
        <w:t xml:space="preserve">Quelle: </w:t>
      </w:r>
      <w:r>
        <w:t>https://mcp.opencaselaw.ch/entscheid/bger_4A_258_2024</w:t>
      </w:r>
    </w:p>
    <w:p>
      <w:r>
        <w:t>FR: TF 4A_258/2024 du 24 mai 2024</w:t>
      </w:r>
    </w:p>
    <w:p>
      <w:r>
        <w:t>IT: TF 4A_258/2024 del 24 maggio 2024</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Die Beschwerde betrifft eine Zivilsache ( Art. 72 Abs. 1 BGG ) und richtet sich gegen den Endentscheid ( Art. 90 BGG ) eines oberen kantonalen Gerichts, das als Rechtsmittelinstanz entschieden hat ( Art. 75 BGG ). Die Beschwerdeführerin ist mit ihren Anträgen unterlegen ( Art. 76 Abs. 1 BGG ), der Streitwert ist erreicht ( Art. 74 Abs. 1 lit. a BGG ) und die Beschwerdefrist ( Art. 100 Abs. 1 BGG ) ist eingehalten.</w:t>
      </w:r>
    </w:p>
    <w:p>
      <w:r>
        <w:t>Auf die Beschwerde ist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Für die Beschwerdeantwort gelten dieselben Begründungsanforderungen ( BGE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von der Beschwerdeführerin selber verfasste Eingabe vom 5. Mai 2024 erfüllt die erwähnten Begründungsanforderungen offensichtlich nicht. Sie setzt sich nicht hinreichend mit den Erwägungen des angefochtenen Entscheids des Obergerichts des Kantons Schaffhausen vom 19. März 2024 auseinander und zeigt nicht rechtsgenügend auf, inwiefern die Vorinstanz mit ihrem Entscheid Bundesrecht verletzt hätte, sondern unterbreitet dem Bundesgericht in unzulässiger Weise ihre eigene Sicht der Dinge. Die Eingabe hat daher unbeachtet zu bleiben und es ist auf die Frage der Missbräuchlichkeit der ausgesprochenen Kündigung nicht mehr einzugehen.</w:t>
      </w:r>
    </w:p>
    <w:p>
      <w:r>
        <w:t>Die von der Rechtsvertreterin der Beschwerdeführerin verfasste Eingabe vom 6. Mai 2024 vermag den gesetzlichen Begründungsanforderungen teilweise auch nicht zu genügen. So beruft sie sich etwa auf eine Verletzung des Rechts auf Beweis, indem das Kantonsgericht die von ihr beantragten Zeugen nicht einvernommen habe, zeigt jedoch nicht auf, dass sie dies im vorinstanzlichen Verfahren überhaupt vorgebracht hätte, geschweige denn, inwiefern der Vorinstanz eine Bundesrechtsverletzung vorzuwerfen wäre (vgl. zur materiellen Ausschöpfung des Instanzenzugs BGE 143 III 290 E. 1.1; Urteil 4A_40/2021 vom 10. Juni 2021 E. 3.2). Die entsprechenden Vorbringen zielen ins Leere.</w:t>
      </w:r>
    </w:p>
    <w:p>
      <w:r>
        <w:rPr>
          <w:b/>
        </w:rPr>
        <w:t>E. 2</w:t>
      </w:r>
    </w:p>
    <w:p>
      <w:r>
        <w:t>Die Beschwerdeführerin rügt eine Verletzung von Art. 247 ZPO .</w:t>
      </w:r>
    </w:p>
    <w:p>
      <w:r>
        <w:rPr>
          <w:b/>
        </w:rPr>
        <w:t>E. 2.1</w:t>
      </w:r>
    </w:p>
    <w:p>
      <w:r>
        <w:t>Nach Art. 247 Abs. 2 lit. a i.V.m. Art. 243 Abs. 2 lit. c ZPO unterstand die vorliegende mietrechtliche Streitigkeit der sozialpolitisch begründeten Untersuchungsmaxime. Diese bezweckt,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 Art. 56 ZPO )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zurückhalten, wie im ordentlichen Verfahren ( BGE 141 III 569 E. 2.3.1 und 2.3.2 mit Hinweisen).</w:t>
      </w:r>
    </w:p>
    <w:p>
      <w:r>
        <w:rPr>
          <w:b/>
        </w:rPr>
        <w:t>E. 2.2</w:t>
      </w:r>
    </w:p>
    <w:p>
      <w:r>
        <w:t>Die - bereits im kantonalen Verfahren anwaltlich vertretene - Beschwerdeführerin verkennt nicht nur die Tragweite der sozialen Untersuchungsmaxime, sondern auch das Wesen des Berufungsverfahrens, wenn sie vorbringt, die Vorinstanz hätte den Sachverhalt von Amtes wegen feststellen bzw. "feststellen und korrigieren müssen, dass das Kantonsgericht Schaffhausen dies pflichtwidrig versäumte". Nach bundesgerichtlicher Rechtsprechung ist das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 BGE 144 III 394 E. 4.1.4; 142 III 413 E. 2.2.4).</w:t>
      </w:r>
    </w:p>
    <w:p>
      <w:r>
        <w:t>Inwiefern die Beschwerdeführerin entsprechende verfahrensrechtliche Einwände bereits im vorinstanzlichen Verfahren vorgebracht hätte, ist nicht erkennbar, geschweige denn ein offensichtlicher Mangel. Entgegen den Vorbringen in der Beschwerde ist der Vorinstanz daher keine Verletzung der anwendbaren Verfahrensbestimmungen vorzuwerfen, wenn sie erwog, die Beschwerdeführerin habe nicht dargelegt, inwiefern der im Arztzeugnis vom 11. Mai 2023 geschilderte Gesundheitszustand, der im erstinstanzlichen Verfahren zur Begründung eines Gesuchs um Dispensation von der Hauptverhandlung eingereicht worden war, es ihr konkret verunmöglichen oder erschweren würde, in der ihr zur Verfügung stehenden Zeit ein Ersatzobjekt zu beschaffen.</w:t>
      </w:r>
    </w:p>
    <w:p>
      <w:r>
        <w:t>Die Beschwerdeführerin versucht vor Bundesgericht vergeblich, unter Berufung auf die soziale Untersuchungsmaxime ( Art. 247 ZPO ) bzw. die gerichtliche Fragepflicht ( Art. 56 ZPO ) eine Ergänzung des Sachverhalts hinsichtlich ihres Gesundheitszustands, ihrer finanziellen Verhältnisse sowie ihrer Verwurzelung im Quartier zu erwirken.</w:t>
      </w:r>
    </w:p>
    <w:p>
      <w:r>
        <w:rPr>
          <w:b/>
        </w:rPr>
        <w:t>E. 3</w:t>
      </w:r>
    </w:p>
    <w:p>
      <w:r>
        <w:t>Die Beschwerdeführerin wirft der Vorinstanz eine Verletzung von Art. 272 OR vor.</w:t>
      </w:r>
    </w:p>
    <w:p>
      <w:r>
        <w:rPr>
          <w:b/>
        </w:rPr>
        <w:t>E. 3.1</w:t>
      </w:r>
    </w:p>
    <w:p>
      <w:r>
        <w:t>Gemäss Art. 272 Abs. 1 OR kann der Mieter die Erstreckung eines befristeten oder unbefristeten Mietverhältnisses verlangen, wenn die Beendigung der Miete für ihn oder seine Familie eine Härte zur Folge hätte, die durch die Interessen des Vermieters nicht zu rechtfertigen wäre. Nach Art. 272b Abs. 1 OR kann das Mietverhältnis für Wohnräume um höchstens vier Jahre erstreckt werden. 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Die Erstreckung des Mietverhältnisses bezweckt in erster Linie, dem Mieter für die Suche neuer Räume mehr Zeit zu lassen, als ihm nach der ordentlichen Kündigungsfrist zur Verfügung stünde ( BGE 142 III 336 E. 5.3.1). Als Härte im Sinne von Art. 272 OR kommen folglich Umstände in Betracht, die es dem Mieter verunmöglichen, in der verbleibenden Zeit ein Ersatzobjekt zu finden. Darunter fallen nur Schwierigkeiten und Unannehmlichkeiten, die sich durch eine Erstreckung des Mietverhältnisses abwenden oder mindern lassen (dazu: Urteile 4A_292/2021 vom 31. August 2021 E. 4.1; 4A_552/2019 vom 21. April 2020 E. 5.2.2; je mit Hinweisen).</w:t>
      </w:r>
    </w:p>
    <w:p>
      <w:r>
        <w:t>Bei der Festlegung der Art und Dauer der gewährten Erstreckung steht dem Gericht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je mit Hinweisen).</w:t>
      </w:r>
    </w:p>
    <w:p>
      <w:r>
        <w:rPr>
          <w:b/>
        </w:rPr>
        <w:t>E. 3.2</w:t>
      </w:r>
    </w:p>
    <w:p>
      <w:r>
        <w:t>Die Beschwerdeführerin wirft der Vorinstanz zu Unrecht vor, ihr vorgerücktes Alter (von mittlerweile 70 Jahren), ihre angeblich schlechte Gesundheit und ihre bescheidenen finanziellen Verhältnisse bei der Bemessung der Erstreckungsdauer "gesamthaft ignoriert und damit ihr Ermessen missbraucht" zu haben. Der Vorinstanz ist das Alter und der im eingereichten Arztzeugnis geschilderte Gesundheitszustand der Beschwerdeführerin nicht entgangen. Sie hat nachvollziehbar darauf hingewiesen, dass diese im kantonalen Verfahren Angaben dazu vermissen liess, inwiefern sich der erwähnte Gesundheitszustand konkret auf die Möglichkeit auswirken soll, in der zur Verfügung stehenden Zeit ein Ersatzobjekt zu beschaffen. Der Vorinstanz ist keine Bundesrechtsverletzung vorzuwerfen, indem sie die vorgebrachten Umstände nicht als Härte im Sinne von Art. 272 Abs. 1 OR anerkannte, die eine längere als die von der Erstinstanz zugestandene Erstreckung des Mietverhältnisses erfordern würde.</w:t>
      </w:r>
    </w:p>
    <w:p>
      <w:r>
        <w:t>Zudem hat die Vorinstanz die lange Mietdauer durchaus im Sinne einer leichten Härte berücksichtigt, wobei sie erwog, die Beschwerdeführerin habe hinsichtlich ihrer Verwurzelung im Quartier keine hinreichenden Rügen erhoben. Darauf geht die Beschwerdeführerin nicht ein, sondern behauptet vor Bundesgericht ohne hinreichende Begründung, eine Mietdauer von 27 Jahren führe ohne Weiteres zu einer voll zu berücksichtigenden Härte. Auch mit dem allgemein gehaltenen Einwand, ältere Menschen seien auf dem Wohnungsmarkt benachteiligt und benötigten eine längere Umgewöhnungsphase, vermag die Beschwerdeführerin keine bundesrechtswidrige Ermessensausübung aufzuzeigen. Hinsichtlich der nunmehr ins Feld geführten angeblich bescheidenen finanziellen Verhältnisse lassen sich dem angefochtenen Entscheid keine Sachverhaltsfeststellungen entnehmen, weshalb die Vorbringen ins Leere zielen.</w:t>
      </w:r>
    </w:p>
    <w:p>
      <w:r>
        <w:t>Nachdem sich ergeben hat, dass die Vorinstanz bundesrechtskonform eine leichte Härte zugunsten der Beschwerdeführerin anerkannte, leuchtet nicht ein, weshalb die Interessenabwägung aufgrund des inzwischen erfolgten Auszugs einer vom gestörten Hausfrieden betroffenen Mietpartei (Familie C.________) zu einer längeren Erstreckung hätte führen müssen. Entsprechendes gilt für den Einwand, im Zeitpunkt des Berufungsurteils seien die mieterseits zu berücksichtigenden Interessen angesichts der im Vergleich zum erstinstanzlichen Urteil noch längeren Mietdauer und des weiter fortgeschrittenen Alters stärker geworden. Ein Ermessensmissbrauch der Vorinstanz ist auch in dieser Hinsicht nicht auszumachen.</w:t>
      </w:r>
    </w:p>
    <w:p>
      <w:r>
        <w:t>Die Rüge, die Vorinstanz habe Art. 272 OR verletzt, erweist sich insgesamt als unbegründet.</w:t>
      </w:r>
    </w:p>
    <w:p>
      <w:r>
        <w:rPr>
          <w:b/>
        </w:rPr>
        <w:t>E. 4</w:t>
      </w:r>
    </w:p>
    <w:p>
      <w:r>
        <w:t>Die Beschwerde ist abzuweisen, soweit darauf eingetreten werden kann. Dem Ausgang des Verfahrens entsprechend wird die Beschwerdeführerin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