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258/2011 vom 12. Juli 2011</w:t>
      </w:r>
    </w:p>
    <w:p>
      <w:r>
        <w:t>Bundesgericht, 2011-07-12, FR</w:t>
      </w:r>
    </w:p>
    <w:p>
      <w:r>
        <w:rPr>
          <w:b/>
        </w:rPr>
        <w:t xml:space="preserve">Quelle: </w:t>
      </w:r>
      <w:r>
        <w:t>https://mcp.opencaselaw.ch/entscheid/bger_4A_258_2011</w:t>
      </w:r>
    </w:p>
    <w:p>
      <w:r>
        <w:t>FR: TF 4A 258/2011 du 12 juillet 2011</w:t>
      </w:r>
    </w:p>
    <w:p>
      <w:r>
        <w:t>IT: TF 4A 258/2011 del 12 luglio 2011</w:t>
      </w:r>
    </w:p>
    <w:p>
      <w:pPr>
        <w:pStyle w:val="Heading2"/>
      </w:pPr>
      <w:r>
        <w:t>Regeste</w:t>
      </w:r>
    </w:p>
    <w:p>
      <w:r>
        <w:t>résiliation du contrat de bail | Droit des contrats</w:t>
      </w:r>
    </w:p>
    <w:p>
      <w:pPr>
        <w:pStyle w:val="Heading2"/>
      </w:pPr>
      <w:r>
        <w:t>Erwägungen</w:t>
      </w:r>
    </w:p>
    <w:p>
      <w:r>
        <w:rPr>
          <w:b/>
        </w:rPr>
        <w:t>E. 1.1</w:t>
      </w:r>
    </w:p>
    <w:p>
      <w:r>
        <w:t>La valeur litigieuse en cas de recours est déterminée par les conclusions restées litigieuses devant l'autorité précédente ( art. 51 al. 1 let. a LTF ). Devant cette autorité, la locataire a contesté la validité du congé à elle notifié. Dans ce cas de figure, la valeur litigieuse ne peut être inférieure aux trois ans pendant lesquels, selon l' art. 271a al. 1 let . e CO, la locataire est protégée contre une nouvelle résiliation dans l'hypothèse où elle obtiendrait gain de cause ( ATF 136 III 196 consid. 1.1 p. 197; 111 II 384 consid. 1 p. 386). Le loyer annuel étant de 49'824 fr., la valeur litigieuse minimum de 15'000 fr. requise en matière de droit du bail par l' art. 74 al. 1 let. a LTF est ici atteinte. Pour le surplus, la décision émane de la dernière instance cantonale. La voie du recours en matière civile est ouverte ( art. 74 al. 1 let. a et art. 75 al. 1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indique expressément ne pas faire valoir que les faits auraient été établis de façon manifestement inexact ou en violation du droit. Elle réserve toutefois les "constatations inexactes figurant dans la partie en droit de l'arrêt querellé" et conteste que "les statuts de l'intimée [X.________] ne traitent pas différemment les locataires de logements et les locataires de locaux professionnels et ceux de garages"; elle conteste également que la mise à disposition à ses membres de locaux commerciaux ferait partie de son but statutaire. La recourante n'invoque toutefois sur les points contestés aucune des circonstances prévues par l' art. 105 al. 2 LTF . Cela étant, il n'y a pas lieu d'examiner sa critique, ce d'autant qu'elle porte en réalité sur des question de droit, ce qui ne semble pas lui avoir échappé, puisqu'elle indique que "ces constatations se confondent avec l'analyse juridique du bien-fondé du présent recours".</w:t>
      </w:r>
    </w:p>
    <w:p>
      <w:r>
        <w:rPr>
          <w:b/>
        </w:rPr>
        <w:t>E. 1.4</w:t>
      </w:r>
    </w:p>
    <w:p>
      <w:r>
        <w:t>Le Tribunal fédéral ne peut aller au-delà des conclusions des parties ( art. 107 al. 1 LTF ). Toute conclusion nouvelle est irrecevable ( art. 99 al. 2 LTF ).</w:t>
      </w:r>
    </w:p>
    <w:p>
      <w:r>
        <w:rPr>
          <w:b/>
        </w:rPr>
        <w:t>E. 2</w:t>
      </w:r>
    </w:p>
    <w:p>
      <w:r>
        <w:t>La recourante dénonce une violation de l' art. 266a al. 1 CO , qui prévoit que lorsque le bail est de durée indéterminée, une partie peut le résilier en observant les délais de congé et les termes légaux, sauf si un délai plus long ou un autre terme ont été convenus.</w:t>
      </w:r>
    </w:p>
    <w:p>
      <w:r>
        <w:rPr>
          <w:b/>
        </w:rPr>
        <w:t>E. 2.1</w:t>
      </w:r>
    </w:p>
    <w:p>
      <w:r>
        <w:t>Dans le système de la coopérative d'habitation, la possibilité de résilier librement le bail qui lie le coopérateur-locataire à la coopérative en respectant le terme et l'échéance convenus est supprimée, compte tenu de l'interférence qui existe entre le rapport corporatif qui se crée entre la société coopérative et son nouveau membre lors de l'acquisition de la qualité d'associé et le rapport d'obligation qui résulte de la conclusion du contrat de bail à loyer. Cette interférence a notamment été déduite de la convergence des buts poursuivis par les parties, puisque celui qui adhère à une coopérative d'habitation agit pour obtenir l'usage d'un logement, alors que la société coopérative a elle-même pour but de procurer des logements à ses membres ( ATF 136 III 65 consid. 2.2 et 2.3 p. 68 s. et la jurisprudence citée). La résiliation du bail ne peut intervenir, sous réserve de dispositions particulières dans le contrat de bail, que pour un motif qui permettrait également l'exclusion de la société coopérative pour un juste motif ou pour un autre motif statutaire ( ATF 136 III 65 consid. 2.3 p. 69 et la jurisprudence citée). Cette jurisprudence a pour effet de restreindre le champ d'application de l' art. 266a CO . La recourante soutient que l'autorité cantonale a enfreint le droit fédéral, en particulier l' art. 266a CO , en concluant que, dans le cas particulier, la résiliation ne pouvait intervenir que pour un motif permettant l'exclusion de la société coopérative, et non pas simplement dans les délais prescrits par la disposition querellée. A l'appui de son argumentation, la recourante prétend que l'autorité cantonale aurait à tort admis l'interférence entre le rapport de sociétariat et le rapport de bail, compte tenu des buts poursuivis par les parties, qui ne sont pas suffisamment convergents. Elle affirme que la mise à disposition de locaux commerciaux à ses membres n'entre pas dans le but de la coopérative tel que défini à l'art. 2 al. 1 de ses statuts.</w:t>
      </w:r>
    </w:p>
    <w:p>
      <w:r>
        <w:rPr>
          <w:b/>
        </w:rPr>
        <w:t>E. 2.2</w:t>
      </w:r>
    </w:p>
    <w:p>
      <w:r>
        <w:t>Il n'est pas contesté que le but principal poursuivi par la coopérative de construction et d'habitation est de mettre des logements à disposition de ses membres, tel que cela ressort de l'art. 2 al. 1 des statuts. Dans le cas d'espèce, la société coopérative est liée à l'intimée par un contrat de bail à loyer, portant sur des locaux commerciaux, qui composent pour partie les immeubles de la coopérative, comme cela ressort de l'art. 2 al. 2 des statuts. Il apparaît à la lecture de l'état de fait - non remis en cause sur ce point par la recourante ( art. 105 al. 1 LTF ) - que ces locaux ont été remis à bail, moyennant souscription de parts sociales; la souscription de ces parts était expressément prévue dans chaque contrat de bail signé ("Madame F.Z.________ et Monsieur H.Z.________ doivent souscrire pour fr. [...] de parts sociales X.________"). Il n'est en outre pas contesté que la locataire a acquis le sociétariat dans le seul but de pouvoir obtenir l'usage des locaux, cédés à bail (cf. jugement attaqué, p. 11). La résiliation du bail a pour effet de priver la locataire de l'usage des locaux commerciaux. Elle perd ainsi son intérêt à être membre de la société coopérative, puisque, comme mentionné ci-dessus, les parts sociales ont été souscrites dans le seul but de pouvoir conclure le bail. En l'absence de toute prétention à l'octroi d'un logement d'habitation, ce qui ne ressort nullement de l'état de fait, la locataire n'a aucun intérêt à demeurer membre de la coopérative. Il y a donc bien, dans le cas particulier, interférence entre le rapport de sociétariat et le rapport de bail qui lient les parties, sans qu'il ne soit nécessaire d'examiner si, d'un point de vue général, les statuts dispensent les locataires professionnels et de garages de l'obligation d'être associés, comme soutenu par la recourante. Dans ces circonstances, la question de savoir si la location de locaux commerciaux entre bien - comme retenu par l'autorité cantonale - dans les buts, même accessoires, poursuivis par la société coopérative peut rester indécise. Il n'y a ainsi pas lieu d'entrer en matière sur la critique formulée à cet égard. On observera d'ailleurs que la recourante se contente de dire qu'une interprétation systématique des statuts conduirait à un autre résultat que celui arrêté par l'autorité cantonale, sans expliquer en quoi l'interprétation faite par cette autorité violerait le droit, ce qui est irrecevable au sens de l' art. 42 al. 2 LTF .</w:t>
      </w:r>
    </w:p>
    <w:p>
      <w:r>
        <w:rPr>
          <w:b/>
        </w:rPr>
        <w:t>E. 2.3</w:t>
      </w:r>
    </w:p>
    <w:p>
      <w:r>
        <w:t>Le congé a été donné au motif que la société coopérative recourante veut entreprendre des travaux de rénovation dans les locaux exploités par l'intimée, ce qui n'est pas contesté ( art. 105 al. 1 LTF ). Si la coopérative décide des travaux et qu'un associé les empêche, il y avait peut-être un motif d'exclusion, mais la recourante ne l'invoque pas et admet l'absence de motif statutaire d'exclusion. Il s'ensuit que le congé est inefficace, à défaut de remplir les conditions posées par la jurisprudence. On ne décèle aucune violation du droit fédéral, et le recours doit être rejeté.</w:t>
      </w:r>
    </w:p>
    <w:p>
      <w:r>
        <w:rPr>
          <w:b/>
        </w:rPr>
        <w:t>E. 3</w:t>
      </w:r>
    </w:p>
    <w:p>
      <w:r>
        <w:t>Les frais et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