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258/2008 vom 7. Oktober 2008</w:t>
      </w:r>
    </w:p>
    <w:p>
      <w:r>
        <w:t>Bundesgericht, 2008-10-07, FR</w:t>
      </w:r>
    </w:p>
    <w:p>
      <w:r>
        <w:rPr>
          <w:b/>
        </w:rPr>
        <w:t xml:space="preserve">Quelle: </w:t>
      </w:r>
      <w:r>
        <w:t>https://mcp.opencaselaw.ch/entscheid/bger_4A_258_2008</w:t>
      </w:r>
    </w:p>
    <w:p>
      <w:r>
        <w:t>FR: TF 4A 258/2008 du 7 octobre 2008</w:t>
      </w:r>
    </w:p>
    <w:p>
      <w:r>
        <w:t>IT: TF 4A 258/2008 del 7 ottobre 2008</w:t>
      </w:r>
    </w:p>
    <w:p>
      <w:pPr>
        <w:pStyle w:val="Heading2"/>
      </w:pPr>
      <w:r>
        <w:t>Regeste</w:t>
      </w:r>
    </w:p>
    <w:p>
      <w:r>
        <w:t>arbitrage international | Juridiction arbitrale</w:t>
      </w:r>
    </w:p>
    <w:p>
      <w:pPr>
        <w:pStyle w:val="Heading2"/>
      </w:pPr>
      <w:r>
        <w:t>Erwägungen</w:t>
      </w:r>
    </w:p>
    <w:p>
      <w:r>
        <w:rPr>
          <w:b/>
        </w:rPr>
        <w:t>E. 1</w:t>
      </w:r>
    </w:p>
    <w:p>
      <w:r>
        <w:t>La sentence attaquée est rédigée en français. La recourante a utilisé l'allemand pour la rédaction de son mémoire. Conformément à l' art. 54 al. 1 LTF et à la pratique du Tribunal fédéral en la matière, l'arrêt sera rendu en français.</w:t>
      </w:r>
    </w:p>
    <w:p>
      <w:r>
        <w:rPr>
          <w:b/>
        </w:rPr>
        <w:t>E. 2</w:t>
      </w:r>
    </w:p>
    <w:p>
      <w:r>
        <w:t>Par ordonnance présidentielle du 18 juin 2008, un délai, expirant le 19 août 2008, a été imparti à Z.________ pour déposer sa réponse éventuelle au recours. Donnant suite à cette ordonnance, Z.________ a adressé au Tribunal fédéral sa réponse écrite, datée du 18 août 2008, sous pli recommandé, avec accusé de réception, qu'elle a remis le 19 du même mois à un bureau de poste de C.________. Le pli en question a été réceptionné le 21 août 2008 au centre postal international de Zurich. L'intimée a, en outre, envoyé au Tribunal fédéral une copie de sa réponse par fax du 19 août 2008. En vertu de l' art. 48 al. 1 LTF , les mémoires doivent être remis au plus tard le dernier jour du délai, soit au Tribunal fédéral soit, à l'attention de ce dernier, à La Poste Suisse ou à une représentation diplomatique ou consulaire suisse. Hormis celui du Liechtenstein, les offices postaux étrangers ne sont pas assimilés à un bureau de poste suisse. La remise d'un mémoire à un tel office n'équivaut donc pas à la remise à un bureau de poste suisse ( ATF 125 V 65 consid. 1 p. 67). Pour que le délai soit sauvegardé en pareille hypothèse, il faut que le pli contenant le mémoire arrive le dernier jour du délai au plus tard au greffe du Tribunal fédéral ou que la Poste Suisse en prenne possession avant l'expiration du délai (KATHRIN AMSTUTZ/PETER ARNOLD, Commentaire bâlois, Bundesgerichtsgesetz, n. 10 ad art. 48; YVES DONZALLAZ, Commentaire de la loi sur le Tribunal fédéral, n. 1238). Au demeurant, le dépôt d'une écriture par télécopie ne permet pas de respecter le délai ( ATF 121 II 252 consid. 4; AMSTUTZ/ARNOLD, op. cit., n. 6 ad art. 48; DONZALLAZ, op. cit., n. 1253). Considéré à la lumière de ces règles, le dépôt de la réponse de Z.________ apparaît comme tardif. Cette écriture ne peut ainsi pas être prise en considération par la Cour de céans. En effet, La Poste Suisse n'a pris possession du pli la contenant que deux jours après l'expiration du délai de réponse. Quant à l'envoi de l'écriture par télécopie, le dernier jour du délai, il n'a pas permis d'observer ce délai.</w:t>
      </w:r>
    </w:p>
    <w:p>
      <w:r>
        <w:rPr>
          <w:b/>
        </w:rPr>
        <w:t>E. 3.1</w:t>
      </w:r>
    </w:p>
    <w:p>
      <w:r>
        <w:t>Dans le domaine de l'arbitrage international, le recours en matière civile est recevable contre les décisions de tribunaux arbitraux aux conditions prévues par les art. 190 à 192 LDIP ( art. 77 al. 1 LTF ).</w:t>
      </w:r>
    </w:p>
    <w:p>
      <w:r>
        <w:rPr>
          <w:b/>
        </w:rPr>
        <w:t>E. 3.2</w:t>
      </w:r>
    </w:p>
    <w:p>
      <w:r>
        <w:t>Le siège du TAS se trouve à Lausanne. L'une des parties au moins (en l'occurrence, les trois) n'avait pas son domicile en Suisse au moment déterminant. Les dispositions du chapitre 12 de la LDIP sont donc applicables ( art. 176 al. 1 LDIP ).</w:t>
      </w:r>
    </w:p>
    <w:p>
      <w:r>
        <w:rPr>
          <w:b/>
        </w:rPr>
        <w:t>E. 3.3</w:t>
      </w:r>
    </w:p>
    <w:p>
      <w:r>
        <w:t>La recourante est directement touchée par la sentence finale attaquée, puisque celle-ci la contraint à souffrir qu'une fédération régionale du pays où elle a son siège soit membre à part entière de la fédération internationale du sport considéré. Elle a ainsi un intérêt personnel, actuel et juridiquement protégé à ce que cette sentence n'ait pas été rendue en violation des garanties découlant de l' art. 190 al. 2 LDIP , ce qui lui confère la qualité pour recourir ( art. 76 al. 1 LTF ). Déposé dans les 30 jours suivant la notification de la sentence attaquée ( art. 100 al. 1 LTF ), le recours, qui satisfait aux exigences formelles posées par l' art. 42 al. 1 LTF , est recevable. Point n'est besoin d'examiner ici la question - controversée - de savoir si le recours en matière civile est soumis à la condition d'une valeur litigieuse minimale lorsqu'il a pour objet une sentence arbitrale internationale. A supposer que ce soit le cas, une telle exigence ne saurait aller au-delà de celle qui est applicable au recours en matière civile visant une décision prise par une autorité cantonale de dernière instance. Or, selon la jurisprudence, le différend ayant trait à la qualité de membre d'une association, telle la présente contestation, ne constitue pas une affaire pécuniaire, au sens de l' art. 74 LTF , et n'est donc pas soumis à l'exigence d'une valeur litigieuse minimale (arrêt 5A_260/2007 du 7 août 2007, consid. 1 et les arrêts cités, notamment l' ATF 108 II 15 consid. 1a).</w:t>
      </w:r>
    </w:p>
    <w:p>
      <w:r>
        <w:rPr>
          <w:b/>
        </w:rPr>
        <w:t>E. 3.4</w:t>
      </w:r>
    </w:p>
    <w:p>
      <w:r>
        <w:t>Le recours ne peut être formé que pour l'un des motifs énumérés de manière exhaustive à l' art. 190 al. 2 LDIP ( ATF 128 III 50 consid. 1a p. 53; 127 III 279 consid. 1a p. 282; 119 II 380 consid. 3c p. 383). Le Tribunal fédéral examine uniquement les griefs qui ont été invoqués et motivés par le recourant ( art. 77 al. 3 LTF ). Celui-ci doit donc formuler ses griefs conformément aux exigences strictes en matière de motivation, posées par la jurisprudence relative à l' art. 90 al. 1 let. b OJ (cf. ATF 128 III 50 consid. 1c), qui demeurent valables sous l'empire du nouveau droit de procédure fédéral.</w:t>
      </w:r>
    </w:p>
    <w:p>
      <w:r>
        <w:rPr>
          <w:b/>
        </w:rPr>
        <w:t>E. 4</w:t>
      </w:r>
    </w:p>
    <w:p>
      <w:r>
        <w:t>Dans un unique moyen, la recourante soutient que la sentence attaquée viole l'ordre public, au sens de l' art. 190 al. 2 let . e LDIP.</w:t>
      </w:r>
    </w:p>
    <w:p>
      <w:r>
        <w:rPr>
          <w:b/>
        </w:rPr>
        <w:t>E. 4.1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matériel et un ordre public procédural.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w:t>
      </w:r>
    </w:p>
    <w:p>
      <w:r>
        <w:rPr>
          <w:b/>
        </w:rPr>
        <w:t>E. 4.2</w:t>
      </w:r>
    </w:p>
    <w:p>
      <w:r>
        <w:t>En l'espèce, la recourante méconnaît totalement ces principes, car elle ne cherche, sous le couvert d'une prétendue violation de l'ordre public, qu'à provoquer, par ce biais, un examen de l'application du droit de fond, ce qui n'est pas admissible ( ATF 116 II 373 consid. 7b). Ce qu'elle dénonce, en réalité, par des arguments purement appellatoires au demeurant et en retouchant indûment les faits, c'est la manière dont Y.________ a organisé l'assemblée générale au cours de laquelle Z.________ a été admise comme membre de cette fédération internationale ainsi que la validité de la décision prise sur ce point à cette occasion. Il ressort, en effet, des arguments avancés dans la partie juridique du mémoire de recours que la recourante conteste que ladite assemblée ait été convoquée en conformité avec les statuts de Y.________ et dans le respect de son droit d'être entendue et qu'elle s'inscrit par ailleurs en faux contre l'interprétation faite par le TAS du droit de veto statutaire ainsi que d'une autre disposition des statuts dont les arbitres ont tiré l'existence d'un mode alternatif d'affiliation à Y.________. On ne voit pas comment rattacher une telle argumentation à la notion de l'ordre public propre à l'arbitrage international. A l'instar du processus d'interprétation d'un contrat et des conséquences qui en sont logiquement tirées en droit, l'interprétation faite par un tribunal arbitral des dispositions statutaires d'un organisme de droit privé est, elle aussi, exclue du champ d'application de l'ordre public et ne saurait être revue par le Tribunal fédéral dans le cadre d'un recours fondé sur l' art. 190 al. 2 let . e LDIP. Il n'apparaît pas non plus que le simple fait de tolérer la coexistence d'une fédération régionale et d'une fédération nationale au sein d'une fédération internationale viole des principes fondamentaux au point de ne plus être conciliable avec l'ordre juridique et le système de valeurs déterminants. Dans ces conditions, le présent recours ne peut qu'être rejeté si tant est qu'il soit recevable.</w:t>
      </w:r>
    </w:p>
    <w:p>
      <w:r>
        <w:rPr>
          <w:b/>
        </w:rPr>
        <w:t>E. 5</w:t>
      </w:r>
    </w:p>
    <w:p>
      <w:r>
        <w:t>La recourante, qui succombe, devra payer les frais judiciaires ( art. 66 al. 1 LTF ). En revanche, elle n'aura pas à verser une indemnité à titre de dépens aux intimées, étant donné que l'une d'elles (Y.________) n'a pas déposé de réponse et que l'autre (Z.________) a déposé la sienne hors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