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4A_256/2022 vom 31. August 2022</w:t>
      </w:r>
    </w:p>
    <w:p>
      <w:r>
        <w:t>Bundesgericht, 2022-08-31, DE</w:t>
      </w:r>
    </w:p>
    <w:p>
      <w:r>
        <w:rPr>
          <w:b/>
        </w:rPr>
        <w:t xml:space="preserve">Quelle: </w:t>
      </w:r>
      <w:r>
        <w:t>https://mcp.opencaselaw.ch/entscheid/bger_4A_256_2022</w:t>
      </w:r>
    </w:p>
    <w:p>
      <w:r>
        <w:t>FR: TF 4A_256/2022 du 31 août 2022</w:t>
      </w:r>
    </w:p>
    <w:p>
      <w:r>
        <w:t>IT: TF 4A_256/2022 del 31 agosto 2022</w:t>
      </w:r>
    </w:p>
    <w:p>
      <w:pPr>
        <w:pStyle w:val="Heading2"/>
      </w:pPr>
      <w:r>
        <w:t>Erwägungen</w:t>
      </w:r>
    </w:p>
    <w:p>
      <w:r>
        <w:rPr>
          <w:b/>
        </w:rPr>
        <w:t>E. 1</w:t>
      </w:r>
    </w:p>
    <w:p>
      <w:r>
        <w:t>Mit Verfügung vom 30. Juni 2021 schrieb der Bezirksgerichtspräsident des Bezirksgerichts March die vom Beschwerdeführer erhobene Beschwerde mangels Rechtschutzinteresse als gegenstandslos ab.</w:t>
      </w:r>
    </w:p>
    <w:p>
      <w:r>
        <w:t>Dagegen reichte der Beschwerdeführer am Kantonsgericht Schwyz Beschwerde ein. Mit Verfügung vom 28. April 2022 schrieb das Kantonsgericht das Beschwerdeverfahren als gegenstandslos ab.</w:t>
      </w:r>
    </w:p>
    <w:p>
      <w:r>
        <w:t>Gegen die Verfügung des Kantonsgerichts erhebt der Beschwerdeführer mit Eingabe vom 7. Juni 2022 Beschwerde an das Bundesgericht. Am 2. August 2022 reichte er eine weitere Eingabe ein und ersuchte um Gewährung der unentgeltlichen Rechtspflege für das bundesgerichtliche Verfahren.</w:t>
      </w:r>
    </w:p>
    <w:p>
      <w:r>
        <w:t>Mit Verfügung vom 10. Juni 2022 wurde das Gesuch um Erteilung der aufschiebenden Wirkung abgewiesen, da die Beschwerde aussichtlos erscheine.</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Diesen Begründungsanforderungen genügen die Eingaben des Beschwerdeführers offensichtlich nicht. Er kritisiert darin bloss den Entscheid des Kantonsgerichts und legt dem Bundesgericht in frei gehaltenen Ausführungen seine Sicht der Dinge dar, ohne indessen auf die ausführlichen Erwägungen der Vorinstanz hinreichend konkret einzugehen, geschweige denn nachvollziehbar aufzuzeigen, inwiefern diese seine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