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4A_256/2021 vom 7. Juni 2021</w:t>
      </w:r>
    </w:p>
    <w:p>
      <w:r>
        <w:t>Bundesgericht, 2021-06-07, DE</w:t>
      </w:r>
    </w:p>
    <w:p>
      <w:r>
        <w:rPr>
          <w:b/>
        </w:rPr>
        <w:t xml:space="preserve">Quelle: </w:t>
      </w:r>
      <w:r>
        <w:t>https://mcp.opencaselaw.ch/entscheid/bger_4A_256_2021</w:t>
      </w:r>
    </w:p>
    <w:p>
      <w:r>
        <w:t>FR: TF 4A_256/2021 du 7 juin 2021</w:t>
      </w:r>
    </w:p>
    <w:p>
      <w:r>
        <w:t>IT: TF 4A_256/2021 del 7 giugno 2021</w:t>
      </w:r>
    </w:p>
    <w:p>
      <w:pPr>
        <w:pStyle w:val="Heading2"/>
      </w:pPr>
      <w:r>
        <w:t>Erwägungen</w:t>
      </w:r>
    </w:p>
    <w:p>
      <w:r>
        <w:rPr>
          <w:b/>
        </w:rPr>
        <w:t>E. 1</w:t>
      </w:r>
    </w:p>
    <w:p>
      <w:r>
        <w:t>Mit Entscheid vom 19. November 2019 wies die Einzelrichterin des Kreisgerichts St. Gallen eine vom Beschwerdeführer gegen seine ehemalige Arbeitgeberin erhobene Klage ab.</w:t>
      </w:r>
    </w:p>
    <w:p>
      <w:r>
        <w:t>Mit Entscheid vom 6. April 2021 wies das Kantonsgericht St. Gallen die vom Beschwerdeführer gegen den kreisgerichtlichen Entscheid vom 19. November 2019 erhobene Berufung ab, soweit es darauf eintrat.</w:t>
      </w:r>
    </w:p>
    <w:p>
      <w:r>
        <w:t>Mit Eingabe vom 10. Mai 2021 erklärte der Beschwerdeführer dem Bundesgericht, den Entscheid des Kantonsgerichts vom 6. April 2021 mit Beschwerde anfechten zu wollen.</w:t>
      </w:r>
    </w:p>
    <w:p>
      <w:r>
        <w:t>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Die Begründung hat ferner in der Beschwerdeschrift selbst zu erfolgen und der blosse Verweis auf Ausführungen in anderen Rechtsschriften oder auf die Akten reicht nicht aus ( BGE 143 II 283 E. 1.2.3; 140 III 115 E. 2 S. 116).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Der Beschwerdeführer geht in seiner Beschwerdeeingabe vom 10. Mai 2021 nicht hinreichend auf die Erwägungen des angefochtenen Entscheids ein und zeigt auf, inwiefern der Vorinstanz eine Verletzung von Bundesrecht vorzuwerfen wäre. So bringt er etwa in allgemeiner Weise vor, verschiedene beantragte Zeugen seien nicht einvernommen worden, setzt sich jedoch nicht mit den konkreten Erwägungen im angefochtenen Entscheid auseinander, die auf die beantragten Zeugeneinvernahmen ausführlich eingehen. Im Weiteren erwähnt er zwar das Willkürverbot, legt jedoch nicht hinreichend dar, inwiefern eine Verletzung von Art. 9 BV vorliegen soll. Die Eingabe erfüllt die erwähnten Begründungsanforderungen offensichtlich nicht.</w:t>
      </w:r>
    </w:p>
    <w:p>
      <w:r>
        <w:t>Auf die Beschwerde ist somit mangels hinreichender Begründung nicht einzutreten ( Art. 108 Abs. 1 lit. b BGG ).</w:t>
      </w:r>
    </w:p>
    <w:p>
      <w:r>
        <w:rPr>
          <w:b/>
        </w:rPr>
        <w:t>E. 3</w:t>
      </w:r>
    </w:p>
    <w:p>
      <w:r>
        <w:t>Dem Ausgang des Verfahrens entsprechend wird der Beschwerdeführer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