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256/2013 vom 17. Oktober 2013</w:t>
      </w:r>
    </w:p>
    <w:p>
      <w:r>
        <w:t>Bundesgericht, 2013-10-17, FR</w:t>
      </w:r>
    </w:p>
    <w:p>
      <w:r>
        <w:rPr>
          <w:b/>
        </w:rPr>
        <w:t xml:space="preserve">Quelle: </w:t>
      </w:r>
      <w:r>
        <w:t>https://mcp.opencaselaw.ch/entscheid/bger_4A_256_2013</w:t>
      </w:r>
    </w:p>
    <w:p>
      <w:r>
        <w:t>FR: TF 4A 256/2013 du 17 octobre 2013</w:t>
      </w:r>
    </w:p>
    <w:p>
      <w:r>
        <w:t>IT: TF 4A 256/2013 del 17 ottobre 2013</w:t>
      </w:r>
    </w:p>
    <w:p>
      <w:pPr>
        <w:pStyle w:val="Heading2"/>
      </w:pPr>
      <w:r>
        <w:t>Regeste</w:t>
      </w:r>
    </w:p>
    <w:p>
      <w:r>
        <w:t>contrat d'entreprise | Droit des contrats</w:t>
      </w:r>
    </w:p>
    <w:p>
      <w:pPr>
        <w:pStyle w:val="Heading2"/>
      </w:pPr>
      <w:r>
        <w:t>Erwägungen</w:t>
      </w:r>
    </w:p>
    <w:p>
      <w:r>
        <w:rPr>
          <w:b/>
        </w:rPr>
        <w:t>E. 1</w:t>
      </w:r>
    </w:p>
    <w:p>
      <w:r>
        <w:t>Le Tribunal fédéral examine d'office et librement la recevabilité des recours qui lui sont soumis ( ATF 138 I 475 consid. 1 p. 476; 138 III 46 consid. 1, 471 consid. 1 p. 475).</w:t>
      </w:r>
    </w:p>
    <w:p>
      <w:r>
        <w:rPr>
          <w:b/>
        </w:rPr>
        <w:t>E. 1.1</w:t>
      </w:r>
    </w:p>
    <w:p>
      <w:r>
        <w:t>L'arrêt attaqué a été rendu en matière civile ( art. 72 al. 1 LTF ) par une autorité cantonale de dernière instance statuant sur recours ( art. 75 LTF ). La valeur litigieuse minimale de 30'000 fr. est atteinte ( art. 74 al. 1 let. b LTF ). Le recours est interjeté par la partie qui n'a pas obtenu gain de cause en instance cantonale ( art. 76 al. 1 LTF ). Enfin, il a été déposé dans le délai ( art. 46 al. 1 let. a et art. 100 al. 1 LTF ) et la forme ( art. 42 LTF ) prévus par la loi. Il reste à examiner si l'arrêt entrepris est une décision sujette à recours.</w:t>
      </w:r>
    </w:p>
    <w:p>
      <w:r>
        <w:rPr>
          <w:b/>
        </w:rPr>
        <w:t>E. 1.2</w:t>
      </w:r>
    </w:p>
    <w:p>
      <w:r>
        <w:t>En règle générale, le recours en matière civile n'est recevable que contre une décision finale, soit celle qui met fin à la procédure ( art. 90 LTF ; ATF 135 III 212 consid. 1.2 p. 216). En l'espèce, l'arrêt cantonal ne met pas un terme au procès. D'une part, la Cour de justice confirme la condamnation de la recourante à rembourser à l'intimée, sur le prix payé, le montant de 42'836 fr.73 avec intérêts et, d'autre part, elle renvoie la cause au Tribunal de première instance pour instruction et nouvelle décision sur la prétention de l'intimée en raison des défauts de l'ouvrage. Ce faisant, la cour cantonale a tranché définitivement le premier point du litige, dont le sort est indépendant de l'objet qui reste en cause. Dans cette mesure, la décision attaquée est partiellement finale; elle doit être qualifiée de décision partielle au sens de l' art. 91 let. a LTF (cf. ATF 135 III 212 consid. 1.2 p. 216 ss), contre laquelle le recours en matière civile est recevable. En revanche, le recours n'est pas ouvert contre la décision attaquée dans la mesure où elle renvoie la cause à l'autorité inférieure sur la question des défauts faisant l'objet de l'appel joint de l'intimée. En effet, il s'agit là d'une décision incidente ne portant ni sur la compétence ni sur une demande de récusation (cf. art. 92 al. 1 LTF ), qui ne peut être attaquée par un recours immédiat que si l'une des deux conditions alternatives posées à l' art. 93 al. 1 LTF est remplie. Or, en l'espèce, la condition de l' art. 93 al. 1 let. b LTF n'entre pas en considération et le préjudice irréparable dont il est question à l' art. 93 al. 1 let. a LTF n'est en rien démontré. C'est le lieu de rappeler que le préjudice en cause doit être de nature juridique et qu'il ne saurait consister en un préjudice de fait ou purement économique, comme l'allongement ou le renchérissement de la procédure; de plus, le préjudice doit être irréparable, c'est-à-dire qu'il ne doit pas pouvoir être supprimé par une décision finale ultérieure qui serait favorable à l'auteur du recours (entre autres ATF 137 V 314 consid. 2.2.1 p. 317). Contrairement à ce que la recourante soutient, le fait que la cour cantonale ait arrêté les frais judiciaires et les dépens de l'appel joint, puis délégué leur répartition au Tribunal de première instance n'est manifestement pas susceptible de causer un préjudice irréparable à la recourante. La cour de céans n'entrera dès lors pas en matière sur le recours en tant qu'il s'en prend au renvoi de la cause à l'autorité inférieure.</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A l'instar du premier juge, la cour cantonale a admis que l'intimée disposait envers la recourante d'une créance, de nature contractuelle, en restitution d'un trop-perçu de 42'836 fr.73, correspondant au montant réclamé dans la demande. Même si l'arrêt attaqué n'est pas très clair à ce sujet, il ressort apparemment de son considérant 5 que la prétention en cause recouvrirait une partie du prix facturé par la recourante pour des travaux réalisés "hors soumission", ainsi que des déductions et des rabais. A cet égard, les juges genevois ont relevé que l'art. 6.1 des conditions générales incorporées au contrat ne qualifiait de travaux modifiés ou supplémentaires que les travaux ayant fait l'objet d'un avenant signé par les parties, précisant la nature de la modification et son incidence sur le prix. Puis, la Chambre civile a constaté que les parties n'avaient passé aucun accord sur le prix des travaux "hors soumission" et en a conclu que ces travaux ne devaient "pas être rémunérés au-delà de ce que l'intimée retient comme admissible". En ce qui concerne les autres déductions (participations au compte pro rata, aux panneaux de chantier et à l'assurance de construction), elles n'avaient, selon la cour cantonale, pas été contestées par la recourante devant le premier juge. Enfin, les rabais de 3% et de 8% avaient été expressément acceptés par la recourante lors des métrés. Au surplus, la Cour de justice a jugé que le Tribunal de première instance n'avait violé ni le droit à la preuve, ni le droit d'être entendu de la recourante en ne lui laissant pas la possibilité de prouver le prix des travaux "hors soumission" puisque ce prix devait obligatoirement faire l'objet d'un accord. Pour la même raison, la cour cantonale a refusé de donner suite à la demande d'expertise de la recourante.</w:t>
      </w:r>
    </w:p>
    <w:p>
      <w:r>
        <w:rPr>
          <w:b/>
        </w:rPr>
        <w:t>E. 2.1</w:t>
      </w:r>
    </w:p>
    <w:p>
      <w:r>
        <w:t>La recourante se plaint d'une violation de l' art. 8 CC . Elle reproche aux juges cantonaux d'avoir renversé le fardeau de la preuve en exigeant qu'elle démontre que sa facturation était correcte, alors qu'il appartenait à l'intimée d'établir que le montant de 42'836 fr.73 lui était dû. Elle relève que la commande par l'intimée des travaux litigieux n'est pas contestée et qu'en l'absence d'accord sur leur prix, il y avait une lacune que le juge devait combler en recherchant le prix juste, et non en tranchant, de manière choquante et injustifiée, en faveur du prix fixé par le maître de l'ouvrage. Comme, faute d'expertise, ils ne disposaient pas de preuve exploitable du prix des travaux litigieux, les juges cantonaux auraient dû constater que l'intimée n'avait pas démontré que le prix appliqué dans son décompte du 12 août 2008 était celui qu'il fallait retenir. Par ailleurs, la cour cantonale aurait versé dans l'arbitraire en retenant que la seule signature des métrés contradictoires par la recourante emportait l'accord de celle-ci aux rabais de 3% et 8% appliqués par l'intimée.</w:t>
      </w:r>
    </w:p>
    <w:p>
      <w:r>
        <w:rPr>
          <w:b/>
        </w:rPr>
        <w:t>E. 2.2</w:t>
      </w:r>
    </w:p>
    <w:p>
      <w:r>
        <w:t>L'intimée entend obtenir, à concurrence de 42'836 fr.73, le remboursement du montant versé le 7 mars 2008. Qu'elle consiste en la répétition de l'indu au sens de l' art. 63 al. 1 CO ou soit fondée sur le contrat, la prétention litigieuse tend toujours à la restitution d'un trop-perçu. Si la distinction est importante notamment pour déterminer le délai de prescription (cf. ATF 133 III 356 consid. 3.2 p. 358 s. et les arrêts cités), elle ne change rien à la répartition du fardeau de la preuve. La demanderesse doit prouver l'inexistence de la dette (cf. ATF 119 II 305 consid. 1b/aa). En effet, chaque plaideur doit, si la loi ne prescrit le contraire, prouver les faits qu'il allègue pour en déduire son droit ( art. 8 CC ). Si des faits juridiquement déterminants restent douteux ou ne sont pas établis, la conséquence de l'absence de preuve est supportée par la partie demanderesse. En principe, la règle de l' art. 8 CC s'applique également lorsque, comme en l'espèce, la preuve porte sur des faits négatifs. Les règles de la bonne foi imposent toutefois à l'autre partie de coopérer à la procédure probatoire, notamment en offrant la preuve du contraire ( ATF 119 II 305 consid. 1b/aa p. 306; 106 II 29 consid. 2 p. 31). C'est dans le cadre de l'appréciation des preuves que le juge se prononcera sur le résultat de la collaboration de la partie adverse ou qu'il tirera les conséquences d'un refus de collaborer à l'administration de la preuve ( ATF 119 II 305 consid. 1b/aa). L' art. 8 CC garantit aussi le droit à la contre-preuve. Lorsqu'une partie est chargée du fardeau de la preuve, son adversaire peut administrer la preuve de faits qui devraient contrecarrer la preuve principale en déterminant le juge à douter de sa valeur ( ATF 130 III 321 consid. 3.4 p. 326; 115 II 305 ).</w:t>
      </w:r>
    </w:p>
    <w:p>
      <w:r>
        <w:rPr>
          <w:b/>
        </w:rPr>
        <w:t>E. 2.3</w:t>
      </w:r>
    </w:p>
    <w:p>
      <w:r>
        <w:t>La cour cantonale a admis intégralement la prétention en restitution de l'intimée. Celle-ci la fonde sur son propre décompte du 12 août 2008 et tient compte des deux montants déjà remboursés par la recourante. La Chambre civile ne s'est pas prononcée directement sur ce décompte. Elle s'est bornée à sous-entendre, au considérant 5 de son arrêt, que le montant réclamé de 42'836 fr.73 était composé de la partie du prix facturé des travaux "hors soumission" considérée comme surfaite par l'intimée, ainsi que d'"autres déductions" (participations au compte pro rata, aux panneaux de chantier et à l'assurance de construction) et rabais. Mais au considérant 3, la cour cantonale fait encore allusion à des déductions "pour le vitrage et le curetage des canalisations". Il ne résulte en tout cas pas clairement de l'arrêt attaqué que les juges genevois ont examiné la totalité de la prétention en restitution de l'intimée par 42'836 fr.73. Comme on le verra par la suite, l'affaire doit être renvoyée à l'autorité précédente de sorte qu'il appartiendra à celle-ci d'éclaircir ce point. Cela étant, la recourante ne critique pas les "autres déductions" mentionnées au considérant 5 de l'arrêt cantonal. En revanche, elle s'en prend aux rabais de 3% et 8% admis par la cour cantonale, dans la mesure où ils s'appliquent aux travaux d'aménagements extérieurs. L'appréciation des preuves à laquelle les juges genevois se sont livrés n'apparaît pas arbitraire à cet égard. En effet, quand bien même ces rabais n'avaient pas été prévus par écrit précédemment pour la seconde série de travaux, il n'est pas insoutenable de déduire qu'en signant les métrés contradictoires faisant état des rabais précités également pour les travaux d'aménagements extérieurs, la recourante a exprimé son acceptation. En ce qui concerne les travaux "hors soumission", la cour cantonale constate qu'aucun accord préalable, notamment sur le prix, n'est intervenu entre les parties, alors qu'ils auraient dû faire l'objet d'un avenant selon l'art. 6.1 des conditions générales. Elle en conclut que "ces travaux ne doivent pas être rémunérés au-delà de ce que l'intimée retient comme admissible." Ce faisant, la Chambre civile tient implicitement pour établi qu'il y a bien eu des travaux "hors soumission" acceptés par l'intimée. L'absence d'un avenant au sens de l'art. 6.1 des conditions générales ne signifie toutefois pas que ces travaux ne doivent pas être rémunérés, ni que leur prix peut être fixé unilatéralement par le maître de l'ouvrage. C'est le lieu de rappeler que si les parties à un contrat d'entreprise onéreux n'ont pas fixé le prix d'avance, il doit être déterminé d'après la valeur du travail et les dépenses de l'entrepreneur ( art. 374 CO ). En jugeant, malgré la contestation de la recourante, que l'intimée avait apporté, par ses seules allégations, la preuve du prix des travaux "hors soumission" et, partant, la preuve du trop-perçu, la cour cantonale a violé l' art. 8 CC . En conclusion, le recours doit être admis partiellement. La cause doit être renvoyée à la cour cantonale pour nouvelle décision sur la prétention de l'intimée en restitution d'un trop-perçu. Dans cette perspective, il convient de rappeler les éléments suivants. Il appartient à l'intimée de démontrer qu'elle ne doit pas le montant de 42'836 fr.73. Pour sa part, la recourante peut apporter la contre-preuve que sa facturation est correcte. A ce sujet, il ne résulte pas clairement de l'arrêt attaqué si la recourante s'est heurtée en première instance à un refus d'administrer une preuve, en violation de l' art. 8 CC , la cour cantonale se limitant à relever qu'il "import[ait] peu que le premier juge n'ait pas laissé à [la recourante] la possibilité de prouver le prix des travaux". Ce point doit donc être éclairci. De même, la cour cantonale devra examiner s'il doit être donné suite à la demande d'expertise que la recourante a formulée en appel. Enfin, l'état de fait et les considérants en droit devront permettre de comprendre aisément, notamment par des indications chiffrées, dans quelle mesure la prétention de l'intimée est accueillie ou rejetée.</w:t>
      </w:r>
    </w:p>
    <w:p>
      <w:r>
        <w:rPr>
          <w:b/>
        </w:rPr>
        <w:t>E. 3</w:t>
      </w:r>
    </w:p>
    <w:p>
      <w:r>
        <w:t>Le recours est irrecevable en ce qui concerne la prétention de 24'432 fr.20 se rapportant à la constatation et à la réparation du défaut invoqué. Il est admis en ce qui concerne la prétention de 42'836 fr.73 en remboursement d'un trop-perçu. Par conséquent, il convient de répartir les frais judiciaires à raison d'environ un tiers à la charge de la recourante et d'environ deux tiers à la charge de l'intimée ( art. 66 al. 1 LTF ). L'intimée versera en outre des dépens réduits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