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4A_254/2012 vom 19. Dezember 2012</w:t>
      </w:r>
    </w:p>
    <w:p>
      <w:r>
        <w:t>Bundesgericht, 2012-12-19, DE</w:t>
      </w:r>
    </w:p>
    <w:p>
      <w:r>
        <w:rPr>
          <w:b/>
        </w:rPr>
        <w:t xml:space="preserve">Quelle: </w:t>
      </w:r>
      <w:r>
        <w:t>https://mcp.opencaselaw.ch/entscheid/bger_4A_254_2012</w:t>
      </w:r>
    </w:p>
    <w:p>
      <w:r>
        <w:t>FR: TF 4A_254/2012 du 19 décembre 2012</w:t>
      </w:r>
    </w:p>
    <w:p>
      <w:r>
        <w:t>IT: TF 4A_254/2012 del 19 dicembre 2012</w:t>
      </w:r>
    </w:p>
    <w:p>
      <w:pPr>
        <w:pStyle w:val="Heading2"/>
      </w:pPr>
      <w:r>
        <w:t>Erwägungen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a BGG ). Auf die Beschwerde ist somit unter Vorbehalt einer rechtsgenügenden Begründung einzutreten.</w:t>
      </w:r>
    </w:p>
    <w:p>
      <w:r>
        <w:rPr>
          <w:b/>
        </w:rPr>
        <w:t>E. 1.2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Neue Tatsachen und Beweismittel dürfen nur soweit vorgebracht werden, als der Entscheid der Vorinstanz dazu Anlass gibt ( Art. 99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(vgl. BGE 133 III 350 E. 1.3 S. 351 f., 393 E. 7.1 S. 398, 462 E. 2.4 S. 466 f.).</w:t>
      </w:r>
    </w:p>
    <w:p>
      <w:r>
        <w:rPr>
          <w:b/>
        </w:rPr>
        <w:t>E. 1.4</w:t>
      </w:r>
    </w:p>
    <w:p>
      <w:r>
        <w:t>Diese Grundsätze verkennt die Beschwerdeführerin, wenn sie in ihren Ausführungen den Sachverhalt frei ergänzt oder abändert, ohne entsprechende Sachverhaltsrügen zu erheben. So behauptet sie etwa, eine Annahme der ergänzenden Offerten der Beschwerdegegnerin durch die Architektin C.________ sei nicht erfolgt. Dies widerspricht dem festgestellten Sachverhalt, wonach die Beschwerdegegnerin die Bestellungsänderungen bzw. Zusatzwünsche offeriert und C.________ anschliessend mündlich die Aufträge erteilt habe. Weiter setzt sich die Beschwerdeführerin auf mehreren Seiten mit Bestimmungen des Grundstückkaufvertrags zwischen ihr und den Eheleuten Z.________ sowie mit Zeugenaussagen auseinander, die dem vorinstanzlichen Urteil nicht entnommen werden können. Die Vorbringen der Beschwerdeführerin sind zudem über weite Strecken appellatorisch. Darauf ist nicht einzutreten.</w:t>
      </w:r>
    </w:p>
    <w:p>
      <w:r>
        <w:rPr>
          <w:b/>
        </w:rPr>
        <w:t>E. 2</w:t>
      </w:r>
    </w:p>
    <w:p>
      <w:r>
        <w:t>Die Beschwerdeführerin wirft der Vorinstanz vor, diese habe die Bestellungsänderungen zu Unrecht als jeweils (ergänzende) Verträge zwischen ihr und der Beschwerdegegnerin qualifiziert. Die Beschwerdegegnerin habe nicht gutgläubig davon ausgehen dürfen, die Architektin C.________ verpflichte als Stellvertreterin die Beschwerdeführerin. Vertragspartner seien vielmehr die Eheleute Z.________. Da die Beschwerdegegnerin lediglich die durch die Bestellungsänderungen angefallenen Mehrkosten eingeklagt habe, sei sie nicht passivlegitimiert.</w:t>
      </w:r>
    </w:p>
    <w:p>
      <w:r>
        <w:rPr>
          <w:b/>
        </w:rPr>
        <w:t>E. 2.1</w:t>
      </w:r>
    </w:p>
    <w:p>
      <w:r>
        <w:t>Die Parteien vereinbarten in Ziff. 8.3 des Werkvertrags Folgendes: "Werden vom Unternehmer Mehrleistungen verlangt, die nicht in der Auftragssumme enthalten sind, wird er vor Ausführung oder Inangriffnahme der Arbeiten diese der Bauleitung schriftlich anzeigen und einen entsprechenden Nachtrag aushandeln. Ohne die vorherige ausdrückliche Zustimmung der Bauleitung/Bauherrschaft vor Inangriffnahme können keine Mehrleistungen verrechnet werden. Als letzte gültige Pauschalsumme gilt somit immer die Kostennachführung der Bauleitung letzten Datums." Nach Ansicht der Vorinstanz lasse diese Regelung offen, ob die Bauleitung auch Bestellungsänderungen vornehmen könne. Nach Art. 33 Abs. 2 der SIA-Norm 118, die gemäss Ziff. 10 des Werkvertrags ergänzend Anwendung finde, sei diese Frage zu bejahen. Im Werkvertrag seien zwar C.________ als zuständige Architektin und D.________ als Bauleiter bezeichnet worden. Mit Schreiben vom 16. Mai 2008 habe die Beschwerdeführerin gegenüber der Beschwerdegegnerin aber ausdrücklich bestätigt, dass die C.________ Architektur "auch für die Bauleitung zuständig" sei. Dies decke sich mit den Zeugenaussagen von C.________. D.________ habe bestätigt, dass C.________ zwar ihn mit den Bauleitungsaufgaben betraut habe, gegenüber der Beschwerdeführerin aber alleine verantwortlich geblieben sei.</w:t>
      </w:r>
    </w:p>
    <w:p>
      <w:r>
        <w:t>Den einzelnen Auftragsbestätigungen lasse sich entnehmen, dass die Beschwerdegegnerin zuerst die Bestellungsänderungen bzw. Zusatzwünsche offeriert habe. Anschliessend habe C.________ mündlich die Aufträge erteilt, worauf die Beschwerdegegnerin die Aufträge schriftlich bestätigt und der C.________ Architektur zugestellt habe. In einem Fall sei die Auftragserteilung per Mail im Auftrag von D.________ erfolgt. Die Beschwerdegegnerin habe zwar - letztlich zur Beweissicherung - eine schriftliche Rückbestätigung gewünscht. Auf Weisung der Beschwerdeführerin habe C.________ die Auftragsbestätigungen (mit einer Ausnahme) durch A. Z.________ unterzeichnen lassen. Damit habe die Beschwerdeführerin aber keineswegs bezweckt, dass direkte Vertragsverhältnisse zwischen den Eheleuten Z.________ und der Beschwerdegegnerin abgeschlossen würden. Im Gegenteil habe sie sämtliche Verträge mit den Unternehmern und Lieferanten auf eigenen Namen und eigene Rechnung abschliessen wollen, nicht zuletzt um den vertraglich vereinbarten GU-Zuschlag von 15 % abrechnen zu können. Der Abschluss des (ergänzenden) Vertrags sei jeweils durch die Annahme der Offerte durch die Bauleiter C.________ und D.________ erfolgt.</w:t>
      </w:r>
    </w:p>
    <w:p>
      <w:r>
        <w:rPr>
          <w:b/>
        </w:rPr>
        <w:t>E. 2.2</w:t>
      </w:r>
    </w:p>
    <w:p>
      <w:r>
        <w:t>Dagegen bringt die Beschwerdeführerin vor, Ziff. 8.3 des Werkvertrags gelte entgegen der Ansicht der Vorinstanz für sämtliche Arten von Bestellungsänderungen und schliesse eine stillschweigende Genehmigung der Zusatzaufträge aus. Eine ausdrückliche Zustimmung der Bauleitung oder der Bauherrschaft liege nicht vor. C.________ sei nicht für die Bauleitung, sondern für die Architektur zuständig gewesen und habe sie daher nicht verpflichten können. Selbst wenn die Architektin als Bauleitung bezeichnet werde, könne dies nicht genügen für die Annahme einer Ermächtigung zur Vergebung von Bauleistungen an Unternehmer. Nach dem Architektenvertrag sei C.________ auch nicht befugt gewesen, für die Beschwerdeführerin Bestellungsänderungen zu bestätigen. Die Beschwerdegegnerin habe ihrerseits nicht gutgläubig davon ausgehen können, es entstehe ein Vertrag mit der Beschwerdeführerin, nachdem lediglich A. Z.________ die Bestellungsänderungen unterzeichnet habe. Das vollmachtlose Handeln sei von der Beschwerdeführerin auch nicht nachträglich genehmigt worden.</w:t>
      </w:r>
    </w:p>
    <w:p>
      <w:r>
        <w:rPr>
          <w:b/>
        </w:rPr>
        <w:t>E. 2.3</w:t>
      </w:r>
    </w:p>
    <w:p>
      <w:r>
        <w:t>Gemäss den Feststellungen der Vorinstanz hat die Beschwerdeführerin in einem Schreiben an die Beschwerdegegnerin bestätigt, dass C.________ auch für die Bauleitung zuständig sei, was sich mit den Aussagen der Zeugen decke. An diese Feststellung ist das Bundesgericht gebunden, da die blosse Behauptung, C.________ sei nicht für die Bauleitung zuständig gewesen, keine rechtsgenüglich begründete Sachverhaltsrüge darstellt (vgl. E. 1.3). Die Vorinstanz hat zudem festgestellt, dass die Beschwerdegegnerin vor Inangriffnahme der Arbeiten diese vorgängig schriftlich angezeigt hat und dass C.________ bzw. in einem Fall D.________ als Bauleitung ausdrücklich ihre Zustimmung erteilt haben. Damit sind entgegen der Ansicht der Beschwerdeführerin die vertraglichen Voraussetzungen für die Verrechnung von Mehrleistungen bereits erfüllt. Es kann somit offen bleiben, ob Ziff. 8.3 des Werkvertrags sämtliche Bestellungsänderungen abschliessend regelt oder ob Art. 33 Abs. 2 der SIA-Norm 118 ergänzend herangezogen werden darf. Ob C.________ im internen Verhältnis dazu befugt war, die Beschwerdeführerin gegenüber der Beschwerdegegnerin zu verpflichten, ist nicht entscheidend, da sich die Vertretungsmacht nach der Kundgabe richtet. Zudem schadet dem guten Glauben der Beschwerdegegnerin nicht, dass C.________ die Auftragsbestätigungen entsprechend der Weisung der Beschwerdeführerin von A. Z.________ unterzeichnen liess, zumal dieses Vorgehen aus Sicht der Beschwerdegegnerin lediglich der Beweissicherung diente. Die Rüge der fehlenden Passivlegitimation erweist sich somit als unbegründet.</w:t>
      </w:r>
    </w:p>
    <w:p>
      <w:r>
        <w:rPr>
          <w:b/>
        </w:rPr>
        <w:t>E. 3</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