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4A_254/2010 vom 3. August 2010</w:t>
      </w:r>
    </w:p>
    <w:p>
      <w:r>
        <w:t>Bundesgericht, 2010-08-03, FR</w:t>
      </w:r>
    </w:p>
    <w:p>
      <w:r>
        <w:rPr>
          <w:b/>
        </w:rPr>
        <w:t xml:space="preserve">Quelle: </w:t>
      </w:r>
      <w:r>
        <w:t>https://mcp.opencaselaw.ch/entscheid/bger_4A_254_2010</w:t>
      </w:r>
    </w:p>
    <w:p>
      <w:r>
        <w:t>FR: TF 4A_254/2010 du 3 août 2010</w:t>
      </w:r>
    </w:p>
    <w:p>
      <w:r>
        <w:t>IT: TF 4A_254/2010 del 3 agosto 2010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l'arbitre unique, celles-ci ont utilisé l'anglais, tandis que, dans les mémoires qu'elles ont adressés au Tribunal fédéral, elles ont employé, qui le français (la recourante), qui l'allemand (l'intimée).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rPr>
          <w:b/>
        </w:rPr>
        <w:t>E. 2.1</w:t>
      </w:r>
    </w:p>
    <w:p>
      <w:r>
        <w:t>Le siège de l'arbitrage a été fixé à Genève. L'une des parties au moins (en l'occurrence, les deux) n'avait pas son domicile en Suisse au moment déterminant. Les dispositions du chapitre 12 de la LDIP sont donc applicables ( art. 176 al. 1 LDIP ).</w:t>
      </w:r>
    </w:p>
    <w:p>
      <w:r>
        <w:rPr>
          <w:b/>
        </w:rPr>
        <w:t>E. 2.2</w:t>
      </w:r>
    </w:p>
    <w:p>
      <w:r>
        <w:t>La recourante est directement touchée par les sentences attaquées, étant donné que l'arbitre unique, après avoir écarté les objections qu'elle avait soulevées à l'encontre de la demande de l'intimée, l'a condamnée à payer une somme d'argent à cette partie. Elle a ainsi un intérêt personnel, actuel et juridiquement protégé à ce que ces sentences n'aient pas été rendues en violation de l' art. 190 al. 2 let . d LDIP, ce qui lui confère la qualité pour recourir ( art. 76 al. 1 LTF ).</w:t>
      </w:r>
    </w:p>
    <w:p>
      <w:r>
        <w:t>Déposé dans les 30 jours suivant la notification de la sentence finale ( art. 100 al. 1 LTF en liaison avec l' art. 46 al. 1 let. a LTF ), le recours, qui satisfait aux exigences formelles posées par l' art. 42 al. 1 LTF , est en principe recevable.</w:t>
      </w:r>
    </w:p>
    <w:p>
      <w:r>
        <w:rPr>
          <w:b/>
        </w:rPr>
        <w:t>E. 2.3</w:t>
      </w:r>
    </w:p>
    <w:p>
      <w:r>
        <w:t>L'intimée conteste toutefois la recevabilité du recours pour deux motifs qu'il y a lieu d'examiner successivement.</w:t>
      </w:r>
    </w:p>
    <w:p>
      <w:r>
        <w:rPr>
          <w:b/>
        </w:rPr>
        <w:t>E. 2.3.1</w:t>
      </w:r>
    </w:p>
    <w:p>
      <w:r>
        <w:t>Tirant un parallèle avec l'affaire ayant donné lieu au prononcé de l'arrêt publié aux ATF 128 III 50 , l'intimée soutient, en substance, que la partial arbitral award rendue le 5 septembre 2007 par l'arbitre unique constituait une décision incidente concernant la compétence, au sens de l' art. 92 LTF , qui aurait dû être attaquée dans les 30 jours suivant sa notification sous peine de forclusion. Tel n'ayant pas été le cas, le recours serait irrecevable puisque le grief qui y est formulé vise exclusivement la sentence incidente du 5 septembre 2007.</w:t>
      </w:r>
    </w:p>
    <w:p>
      <w:r>
        <w:t>Semblable opinion ne saurait être partagée. Dans le précédent cité par l'intimée, la partie défenderesse avait manifesté la ferme volonté de refuser l'arbitrage (cf. ATF 128 III 50 consid. 2c/bb p. 59 ss). Il n'en va pas de même dans la présente espèce. Comme cela ressort du texte de l'ordre de procédure du 22 juin 2006 (p. 4 s., ch. 3 et 4), auquel se réfère l'intimée, et plus encore de celui de la sentence susmentionnée (p. 19, nos 43 et 44), ce n'est pas tant la compétence de l'arbitre unique comme telle, qui a été contestée par la recourante dans l'instance arbitrale, que la légitimation des parties relativement à la créance litigieuse; et l'intéressée n'a pas formellement dénié à l'arbitre unique le pouvoir de trancher cette question relevant du fond, ce qu'elle ne fait pas non plus devant le Tribunal fédéral. Sans doute l'arbitre unique a-t-il constaté sa propre compétence dans le dispositif de ladite sentence, mais il y a aussi et surtout écarté les objections de la recourante quant au locus standi des parties, point qui représentait le véritable noeud du litige. Dans cette mesure, on a affaire, non pas à une sentence partielle, comme son intitulé pourrait le donner à penser, mais à une sentence préjudicielle (sur cette notion, cf. ATF 130 III 755 consid. 1.2.1 p. 757). Etant donné sa nature, cette sentence ne pouvait pas être attaquée directement pour le motif tiré de la violation du droit d'être entendu (cf. art. 190 al. 3 LDIP a contrario). La recourante n'en conservait pas moins la possibilité de la critiquer à l'occasion du recours dirigé contre la sentence finale ( art. 93 al. 3 LTF en liaison avec l' art. 77 al. 2 LTF a contrario; arrêt 4A_458/2009 du 10 juin 2010 consid. 4.3).</w:t>
      </w:r>
    </w:p>
    <w:p>
      <w:r>
        <w:rPr>
          <w:b/>
        </w:rPr>
        <w:t>E. 2.3.2</w:t>
      </w:r>
    </w:p>
    <w:p>
      <w:r>
        <w:t>Selon la jurisprudence, la partie qui s'estime victime d'une violation de son droit d'être entendue doit s'en plaindre d'emblée dans la procédure arbitrale; les règles de la bonne foi s'opposent, en effet, à ce qu'elle attende la notification de la sentence pour dénoncer alors seulement, si l'issue du litige lui est défavorable, un vice qui aurait pu être réparé s'il avait été signalé en temps utile ( ATF 119 II 386 consid. 1a et les références).</w:t>
      </w:r>
    </w:p>
    <w:p>
      <w:r>
        <w:t>Forte de cette jurisprudence, l'intimée reproche à la recourante de ne s'être jamais plainte de la prétendue violation de son droit d'être entendue durant les deux ans et demi qui se sont écoulés entre le prononcé de la sentence préjudicielle et celui de la sentence finale, alors qu'elle aurait eu maintes fois l'occasion de le faire. A l'en croire, un tel comportement, contraire aux règles de la bonne foi, s'opposerait à l'entrée en matière sur le recours.</w:t>
      </w:r>
    </w:p>
    <w:p>
      <w:r>
        <w:t>Il faudrait sans doute donner raison à l'intimée à supposer que la recourante ait eu l'occasion de faire réparer, dans l'intervalle ayant séparé le prononcé des deux sentences, le vice procédural qu'elle dénonce aujourd'hui. Cependant, rien n'est moins sûr. En effet, l'arbitre unique ne pouvait pas revenir sur sa sentence préjudicielle, même si celle-ci n'était pas revêtue de l'autorité de la chose jugée ( ATF 122 III 492 consid. 1b/bb). Quant à la recourante, elle ne pouvait pas l'y contraindre: d'une part, la sentence préjudicielle en cause n'était pas susceptible de recours immédiat au Tribunal fédéral, eu égard au vice invoqué (cf., ci-dessus, consid. 2.3.1 in fine); d'autre part, le vice en question ne constituait pas un motif qui eût permis à la recourante d'obtenir la révision de ce prononcé (cf. ATF 134 III 286 consid. 2.1 et les arrêts cités). Par conséquent, le second argument avancé par l'intimée pour s'opposer à la recevabilité du recours tombe, lui aussi, à faux.</w:t>
      </w:r>
    </w:p>
    <w:p>
      <w:r>
        <w:t>Cela étant, le fait, pour la recourante, de n'avoir jamais déploré, d'une manière ou d'une autre, durant une aussi longue période, la violation dont elle se plaint aujourd'hui et d'être même allée jusqu'à reprocher à l'intimée de vouloir revenir sur la question du locus standi, pour chercher, ensuite seulement, à tirer argument de cette prétendue violation, une fois connue l'issue défavorable du litige, est sans doute de nature à fragiliser la position de cette partie relativement au problème litigieux.</w:t>
      </w:r>
    </w:p>
    <w:p>
      <w:r>
        <w:rPr>
          <w:b/>
        </w:rPr>
        <w:t>E. 3</w:t>
      </w:r>
    </w:p>
    <w:p>
      <w:r>
        <w:t>Comme unique grief, la recourante reproche à l'arbitre d'avoir fondé sa sentence préjudicielle et, partant, sa sentence finale sur un motif juridique imprévisible pour les parties, en violation de son droit d'être entendue.</w:t>
      </w:r>
    </w:p>
    <w:p>
      <w:r>
        <w:rPr>
          <w:b/>
        </w:rPr>
        <w:t>E. 3.1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(arrêts 4A_464/2009 du 15 février 2010 consid. 6.1 et 4A_400/2008 du 9 février 2009 consid. 3.1).</w:t>
      </w:r>
    </w:p>
    <w:p>
      <w:r>
        <w:rPr>
          <w:b/>
        </w:rPr>
        <w:t>E. 3.2</w:t>
      </w:r>
    </w:p>
    <w:p>
      <w:r>
        <w:t>Pour étayer son grief, la recourante fait valoir, en résumé, que l'arbitre unique a fondé sa sentence préjudicielle, déterminante pour le sort du litige, sur un argument de droit - la nullité du BCA 2003 pour cause de simulation - dont aucune des parties ne s'était prévalue, que ce fût avant le début de la procédure arbitrale ou pendant le déroulement de celle-ci. Concrètement, elle expose, en analysant les diverses phases de cette procédure (acte de mission, ordonnance du 22 juin 2006, dépôt des écritures des parties, avis de droit d'un avocat zurichois, witness statements), que la validité de ce contrat n'avait jamais été remise en cause par qui que ce fût.</w:t>
      </w:r>
    </w:p>
    <w:p>
      <w:r>
        <w:t>Dans une seconde étape de son raisonnement, la recourante indique pourquoi, à son avis, les parties ne pouvaient pas supputer la pertinence, in casu, de l'argument juridique retenu par l'arbitre unique. Elle s'emploie à démontrer que les parties n'auraient jamais imaginé ou pu imaginer que l'arbitre unique allait utiliser un tel argument pour considérer que le BCA 2003 était nul, tout en confessant que lui-même n'était pas en mesure d'établir la nature du contrat dissimulé liant les parties. Selon elle, si les parties avaient pu s'exprimer sur ce point et apporter les preuves nécessaires, l'opinion de l'arbitre unique sur l'interprétation du BCA 2003, voire sur le contenu du contrat dissimulé, aurait sans aucun doute été différente.</w:t>
      </w:r>
    </w:p>
    <w:p>
      <w:r>
        <w:rPr>
          <w:b/>
        </w:rPr>
        <w:t>E. 3.3</w:t>
      </w:r>
    </w:p>
    <w:p>
      <w:r>
        <w:t>La recourante ne saurait être suivie, lorsqu'elle plaide l'effet de surprise. Tout au plus peut-on lui concéder que le terme "simulation" n'apparaît pas expressément dans les écritures des parties versées au dossier de l'arbitrage. De là à en tirer la conclusion que les parties ne pouvaient en aucun cas envisager que l'arbitre unique se servît de cette figure juridique pour motiver sa sentence, il y a un pas qu'il n'est pas possible de franchir.</w:t>
      </w:r>
    </w:p>
    <w:p>
      <w:r>
        <w:t>D'abord, la recourante, représentée par un avocat genevois, s'est référée elle-même, dans trois mémoires au moins (réponse du 18 mai 2005, p. 12 s. n. 57; synthèse du 30 novembre 2005, p. 4 n. 21; déterminations du 27 février 2007 sur la question du locus standi [ci-après: déterminations], p. 28 n. 163), à l' art. 18 CO dont la note marginale est ainsi libellée: "D.Interprétation des contrats; simulation". Elle en a d'ailleurs cité le texte du premier alinéa, y compris le passage évoquant la figure de la simulation ("... with the intention of concealing the true nature of the contract"; réponse et déterminations, ibid.). Et elle l'a fait pour soutenir que les parties au BCA 2003 n'avaient pas eu l'intention de conclure un Business Consultancy Agreement, contrairement à ce que le titre ainsi donné à cette convention et diverses clauses de celle-ci auraient pu laisser croire, mais une cession à un tiers (W.________) du rapport contractuel ou des créances découlant du BCA 2001. Preuve en était, selon elle, le fait que le contrat de construction avait déjà été attribué, au moment de la signature du BCA 2003, à une société du groupe X.________, alors qu'il s'agissait du principal objectif assigné au Business Consultancy Agreement. La recourante ajoutait que la société W.________ eût été dans l'impossibilité totale de fournir les services mentionnés dans le BCA 2003 (déterminations, p. 29 s. n. 171 let. a et b), même si elle soutient aujourd'hui le contraire devant le Tribunal fédéral (recours, p. 14 s.). Autrement dit, l'intéressée était consciente que les parties au BCA 2003 avaient conclu un contrat en utilisant des termes qui ne correspondaient pas à leur véritable intention. Dès lors, elle devait, à tout le moins, envisager l'hypothèse que l'arbitre unique puisse qualifier cette convention de contrat simulé et, à partir de là, chercher à démontrer qu'une telle qualification n'eût pas été de mise.</w:t>
      </w:r>
    </w:p>
    <w:p>
      <w:r>
        <w:t>Il convient de relever, ensuite, que l'intimée n'a jamais admis que le BCA 2003, auquel elle n'était du reste pas partie, puisse être qualifié de Business Consultancy Agreement, conformément à son intitulé, voire de contrat de cession, suivant la thèse soutenue par la recourante. Elle a toujours maintenu que le contrat en question n'avait en rien modifié la situation juridique telle qu'elle résultait du BCA 2001, sur lequel elle fondait ses prétentions (cf. mémoire conclusif du 27 février 2007, p. 15 n. 10 let. f à h). Aussi la recourante ne pouvait-elle qu'être consciente du fait que la validité du BCA 2003 était sujette à caution, et elle devait envisager toutes les hypothèses, peu nombreuses au demeurant, dans lesquelles un contrat peut être inefficace en vertu des dispositions générales du CO, y compris celle relative à l'acte simulé.</w:t>
      </w:r>
    </w:p>
    <w:p>
      <w:r>
        <w:t>Enfin, il ne pouvait échapper à la recourante que, de jurisprudence constante, le juge doit relever d'office la simulation lorsque celle-ci est établie ( ATF 97 II 201 consid. 5 p. 207; arrêt 4A_96/2008 du 26 mai 2008 consid. 2.3). L'intéressée ne pouvait donc écarter l'éventualité que l'arbitre unique conclût à l'existence d'un contrat simulé sur le vu du texte même du BCA 2003 et des explications qu'elle lui avait fournies au sujet de cette convention.</w:t>
      </w:r>
    </w:p>
    <w:p>
      <w:r>
        <w:t>Dans ces conditions, le moyen pris de la violation du droit d'être entendu se révèle dénué de fondement en l'espèce. Pour le surplus, il n'appartient pas à la Cour de céans d'examiner si c'est à bon droit que l'arbitre unique a vu un acte simulé dans le BCA 2003. La recourante tente, dès lors, en pure perte de la convaincre que tel n'était pas le cas, en se prévalant notamment de ce que l'arbitre unique n'a pas été en mesure de dire si le contrat simulé en dissimulait un autre et, dans l'affirmative, de décrire l'objet du contrat dissimulé.</w:t>
      </w:r>
    </w:p>
    <w:p>
      <w:r>
        <w:rPr>
          <w:b/>
        </w:rPr>
        <w:t>E. 4</w:t>
      </w:r>
    </w:p>
    <w:p>
      <w:r>
        <w:t>Cela étant, il y a lieu de rejeter le recours et de mettre à la charge de son auteur les frais de la procédure fédérale ( art. 66 al. 1 LTF ) ainsi que les dépens auxquels peut prétendre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