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4A_253/2013 vom 14. August 2013</w:t>
      </w:r>
    </w:p>
    <w:p>
      <w:r>
        <w:t>Bundesgericht, 2013-08-14, FR</w:t>
      </w:r>
    </w:p>
    <w:p>
      <w:r>
        <w:rPr>
          <w:b/>
        </w:rPr>
        <w:t xml:space="preserve">Quelle: </w:t>
      </w:r>
      <w:r>
        <w:t>https://mcp.opencaselaw.ch/entscheid/bger_4A_253_2013</w:t>
      </w:r>
    </w:p>
    <w:p>
      <w:r>
        <w:t>FR: TF 4A_253/2013 du 14 août 2013</w:t>
      </w:r>
    </w:p>
    <w:p>
      <w:r>
        <w:t>IT: TF 4A_253/2013 del 14 agosto 2013</w:t>
      </w:r>
    </w:p>
    <w:p>
      <w:pPr>
        <w:pStyle w:val="Heading2"/>
      </w:pPr>
      <w:r>
        <w:t>Erwägungen</w:t>
      </w:r>
    </w:p>
    <w:p>
      <w:r>
        <w:rPr>
          <w:b/>
        </w:rPr>
        <w:t>E. 1</w:t>
      </w:r>
    </w:p>
    <w:p>
      <w:r>
        <w:t>Les conditions de recevabilité du recours en matière civile sont satisfaites, notamment à raison de la valeur litigieuse.</w:t>
      </w:r>
    </w:p>
    <w:p>
      <w:r>
        <w:t>Le recours est ouvert pour violation du droit fédéral ( art. 95 let. a LTF ). Dans une affaire pécuniaire, le Tribunal fédéral ne contrôle pas l'application du droit étranger éventuellement pertinent ( art. 96 let. b LTF ); il n'intervient que si la partie recourante démontre que les règles de ce droit ont été constatées ou appliquées en violation de la protection contre l'arbitraire conférée par l' art. 9 Cst. ( ATF 137 III 517 consid. 3.3 in fine p. 521).</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w:t>
      </w:r>
    </w:p>
    <w:p>
      <w:r>
        <w:rPr>
          <w:b/>
        </w:rPr>
        <w:t>E. 2</w:t>
      </w:r>
    </w:p>
    <w:p>
      <w:r>
        <w:t>En l'état de la cause, seule l'obligation de verser des dommages-intérêts correspondant à la valeur du véhicule Mercedes demeure litigieuse. La Cour de justice retient que cette contestation est soumise au droit français parce que les parties avaient l'une et l'autre leur résidence habituelle en France à l'époque où le demandeur a acheté ce véhicule et l'a remis à sa compagne. Ce point est incontesté et il n'y a pas lieu d'y revenir.</w:t>
      </w:r>
    </w:p>
    <w:p>
      <w:r>
        <w:t>Selon la Cour, il importait de déterminer si la défenderesse a reçu le véhicule par l'effet d'un don manuel ou d'un prêt à usage : dans cette hypothèse-ci, elle était tenue à restitution et elle est donc débitrice de dommages-intérêts pour cause d'inexécution de cette obligation. Celui qui possède une chose et prétend l'avoir reçue par l'effet d'un don manuel bénéficie d'une présomption, pour autant que sa possession ne soit pas équivoque. En l'occurrence, la Cour juge la possession de la défenderesse équivoque parce que le défendeur avait conservé des clés du véhicule et s'était ainsi ménagé la possibilité de récupérer ce bien. Le don manuel n'est donc pas présumé; il n'est pas non plus établi par les preuves administrées et la Cour en déduit que la défenderesse a reçu le véhicule en prêt.</w:t>
      </w:r>
    </w:p>
    <w:p>
      <w:r>
        <w:t>La défenderesse ne conteste pas, en substance, cette analyse fondée sur le droit français. Elle affirme seulement que la détention de clés par le demandeur n'a pas été alléguée et moins encore prouvée en première instance, et que ce fait a été allégué - mais pas prouvé - en appel seulement, alors que les conditions de l' art. 317 al. 1 CPC n'étaient pas satisfaites. Elle se plaint de violation de cette disposition. Dans les développements successifs de son mémoire, elle reprend ce même argument pour se plaindre également d'appréciation arbitraire des preuves, d'application arbitraire du droit français et de violation de son droit d'être entendue.</w:t>
      </w:r>
    </w:p>
    <w:p>
      <w:r>
        <w:rPr>
          <w:b/>
        </w:rPr>
        <w:t>E. 3</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l'appel était régi par le code unifié.</w:t>
      </w:r>
    </w:p>
    <w:p>
      <w:r>
        <w:t>Il ressort de l' art. 317 al. 1 CPC que l'introduction d'allégués et de moyens de preuve nouveaux n'est en principe pas autorisée en appel.</w:t>
      </w:r>
    </w:p>
    <w:p>
      <w:r>
        <w:t>Dans sa réponse au recours, le demandeur désigne de manière précise les passages de ses écritures de première instance où il a fait allusion soit aux « clés qu'il possédait », soit aux « clés du véhicule détenues par le demandeur »; il cite également un procès-verbal de comparution personnelle des parties du 6 septembre 2011 selon lequel la défenderesse s'est exprimée comme suit: « Nous avions plusieurs clés pour ce véhicule. J'ai fait neutraliser les clés suite à notre séparation; il n'y avait plus de raison que [le demandeur] ait accès à mon véhicule. Je ne l'ai pas informé de ce fait. »</w:t>
      </w:r>
    </w:p>
    <w:p>
      <w:r>
        <w:t>Au regard de ces éléments, la Cour de justice pouvait retenir sans arbitraire que la possession de clés par le demandeur avait non seulement été alléguée en première instance déjà par cette partie, mais encore reconnue par la défenderesse lors de sa comparution personnelle. Le moyen tiré de l' art. 317 al. 1 CPC est donc privé de fondement. La Cour de justice n'avait aucun devoir d'interpeller cette partie au sujet de ce fait. Celui-ci était constant et il n'est donc pas non plus question d'une appréciation éventuellement arbitraire des preuves. Enfin, la Cour peut juger sans arbitraire qu'en raison de ce même fait, la possession de la défenderesse était équivoque et que cette partie ne jouit donc pas de la présomption consacrée par le droit français.</w:t>
      </w:r>
    </w:p>
    <w:p>
      <w:r>
        <w:rPr>
          <w:b/>
        </w:rPr>
        <w:t>E. 4</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