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4A_252/2008 vom 28. August 2008</w:t>
      </w:r>
    </w:p>
    <w:p>
      <w:r>
        <w:t>Bundesgericht, 2008-08-28, FR</w:t>
      </w:r>
    </w:p>
    <w:p>
      <w:r>
        <w:rPr>
          <w:b/>
        </w:rPr>
        <w:t xml:space="preserve">Quelle: </w:t>
      </w:r>
      <w:r>
        <w:t>https://mcp.opencaselaw.ch/entscheid/bger_4A_252_2008</w:t>
      </w:r>
    </w:p>
    <w:p>
      <w:r>
        <w:t>FR: TF 4A_252/2008 du 28 août 2008</w:t>
      </w:r>
    </w:p>
    <w:p>
      <w:r>
        <w:t>IT: TF 4A_252/2008 del 28 agosto 2008</w:t>
      </w:r>
    </w:p>
    <w:p>
      <w:pPr>
        <w:pStyle w:val="Heading2"/>
      </w:pPr>
      <w:r>
        <w:t>Erwägungen</w:t>
      </w:r>
    </w:p>
    <w:p>
      <w:r>
        <w:rPr>
          <w:b/>
        </w:rPr>
        <w:t>E. 1.1</w:t>
      </w:r>
    </w:p>
    <w:p>
      <w:r>
        <w:t>Interjeté par la partie qui a succombé dans ses conclusions prises devant l'autorité précédente et qui a donc qualité pour recourir ( art. 76 al. 1 LTF ; ATF 133 III 421 consid. 1.1), le recours est dirigé contre une décision finale ( art. 90 LTF ) rendue en matière civile ( art. 72 al. 1 LTF ) par un tribunal supérieur statuant sur recours en dernière instance cantonale ( art. 75 al. 1 et 2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Tribunal fédéral, qui applique le droit d'office ( art. 106 al. 1 LTF ) - sous réserve de l'exception prévue par l' art. 106 al. 2 LTF pour la violation de droits fondamentaux ou de dispositions de droit cantonal et intercantonal (cf. ATF 133 II 249 consid. 1.4.2) -,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faits qui ont été établis de façon manifestement inexacte, utilisée à l' art. 105 al. 2 LTF , correspond à celle d'arbitraire au sens de l' art. 9 Cst. (Message du Conseil fédéral concernant la révision totale de l'organisation judiciaire fédérale, FF 2001 4135, ch. 4.1.4.2; cf. ATF 134 V 53 consid. 4.3; 133 II 249 consid. 1.4.3, 384 consid. 4.2.2).</w:t>
      </w:r>
    </w:p>
    <w:p>
      <w:r>
        <w:t>En matière d'appréciation des preuves et d'établissement des faits, l'autorité tombe dans l'arbitraire, selon la jurisprudence,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 Il n'y a pas arbitraire du seul fait qu'une autre solution paraît également concevable, voire préférable ( ATF 133 I 149 consid. 3.1; 132 III 209 consid. 2.1; 129 I 8 consid. 2.1).</w:t>
      </w:r>
    </w:p>
    <w:p>
      <w:r>
        <w:t>La partie recourante doit expliquer de manière circonstanciée en quoi l'appréciation des preuves respectivement l'établissement des faits par l'autorité précédente est arbitraire, faute de quoi il n'est pas possible de tenir compte d'un état de fait qui diverge de celui contenu dans la décision attaquée ( ATF 134 I 65 consid. 1.5; 133 III 462 consid. 2.4; 133 II 249 consid. 1.4.3; 133 IV 150 consid. 1.3, 286 consid. 1.4). Le Tribunal fédéral n'a pas à entrer en matière sur une argumentation appellatoire, c'est-à-dire sur celle qui ne fait que l'inviter à substituer sa propre appréciation des preuves à celle du juge du fait ( ATF 133 III 585 consid. 4.1; 130 I 258 consid. 1.3; 117 Ia 10 consid. 4b; 110 Ia 1 consid. 2a), sans tenter de démontrer que le raisonnement suivi par celui-ci, ou le résultat auquel il est parvenu, est insoutenable.</w:t>
      </w:r>
    </w:p>
    <w:p>
      <w:r>
        <w:rPr>
          <w:b/>
        </w:rPr>
        <w:t>E. 2.1</w:t>
      </w:r>
    </w:p>
    <w:p>
      <w:r>
        <w:t>Le recourant reproche à la Cour de justice d'avoir, à la suite du Tribunal de première instance, établi les faits de façon manifestement inexacte et en violation de l' art. 9 Cst. à deux égards: premièrement, en retenant que les actifs cédés selon le contrat du 2 mars 2005 correspondaient au matériel repris à concurrence de 30'000 fr., le solde du prix de vente - soit 20'000 fr. - correspondant à la valeur de la clientèle; deuxièmement, en retenant que le recourant n'avait pas effectué toutes les démarches auxquelles il s'était engagé pour faciliter la reprise de sa clientèle. Partant, les juges cantonaux auraient violé l' art. 82 CO en considérant que le recourant n'avait pas exécuté ou offert d'exécuter sa propre obligation.</w:t>
      </w:r>
    </w:p>
    <w:p>
      <w:r>
        <w:rPr>
          <w:b/>
        </w:rPr>
        <w:t>E. 2.2</w:t>
      </w:r>
    </w:p>
    <w:p>
      <w:r>
        <w:t>Aux termes de l' art. 82 CO , celui qui poursuit l'exécution d'un contrat bilatéral doit avoir exécuté ou offrir d'exécuter sa propre obligation, à moins qu'il ne soit au bénéfice d'un terme d'après les clauses ou la nature du contrat. Selon le texte même de l' art. 82 CO , cette disposition s'applique aux contrats bilatéraux; elle vise directement les prestations d'un seul et même contrat synallagmatique promises l'une en échange de l'autre, soit celles qui dépendent l'une de l'autre pour leur naissance et leur exécution ( ATF 128 V 224 consid. 2b; 116 III 70 consid. 3b; 107 II 411 consid. 1; 84 II 149 et les arrêts cités). L' art. 82 CO accorde au débiteur une exception dilatoire, qu'on appelle exception d'inexécution ou exceptio non adimpleti contractus, qui lui permet de retenir la prestation réclamée jusqu'à l'exécution ou l'offre d'exécution de la contre-prestation ( ATF 127 III 199 consid. 3a; 128 V 224 consid. 2b; 123 III 16 consid. 2b; 111 II 463 consid. 3). Il incombe au débiteur de soulever l'exception d'inexécution ( ATF 127 III 199 consid. 3a; 123 III 16 consid. 2b; 111 II 463 consid. 3; 79 II 277 consid. 2; 76 II 298 consid. 3). Une fois que cette exception a été invoquée, il appartient au créancier de prouver qu'il a exécuté ou offert d'exécuter sa propre prestation, conformément à la règle générale qui veut que celui qui se prévaut de son exécution l'établisse ( ATF 123 III 16 consid. 2b; 79 II 277 consid. 2; 76 II 298 consid. 3; Hohl, Commentaire romand, Code des obligations I, 2003, n. 11 ad art. 82 CO ).</w:t>
      </w:r>
    </w:p>
    <w:p>
      <w:r>
        <w:rPr>
          <w:b/>
        </w:rPr>
        <w:t>E. 2.3.1</w:t>
      </w:r>
    </w:p>
    <w:p>
      <w:r>
        <w:t>En l'espèce, la Cour de justice a observé que le contrat conclu entre les parties, qui prévoyait un prix de 50'000 fr. pour la reprise de tous les actifs - à l'exclusion des passifs - de la société A.________ Sàrl au 1er mars 2005, n'indiquait pas quels étaient précisément les actifs cédés; les parties s'accordaient toutefois à dire que le contrat portait sur la reprise du matériel par Y.________ Sàrl et la possibilité pour elle d'augmenter sa clientèle. La cour cantonale a dès lors conclu, à l'instar du premier juge, que les actifs cédés correspondaient au matériel, lequel avait été estimé à 30'000 fr. par X.________ lui-même, et que, dans la mesure où la clientèle de la société A.________ Sàrl présentait un grand intérêt pour Y.________ Sàrl, les parties avaient voulu fixer la valeur de cette dernière au solde du prix de vente, soit à 20'000 fr. Or il ressortait du bilan de la société établi le 22 octobre 2005, signé par X.________ lui-même, que la valeur des actifs de A.________ Sàrl au 28 février 2005, date de cession, n'était plus que de 1'500 fr.; il en résultait que X.________ n'avait pas entièrement exécuté sa prestation dans la mesure où il devait encore remettre à Y.________ Sàrl des actifs manquants d'une valeur de 28'500 fr.</w:t>
      </w:r>
    </w:p>
    <w:p>
      <w:r>
        <w:rPr>
          <w:b/>
        </w:rPr>
        <w:t>E. 2.3.2</w:t>
      </w:r>
    </w:p>
    <w:p>
      <w:r>
        <w:t>Le recourant qualifie de manifestement inexacte la constatation que les actifs cédés selon le contrat du 2 mars 2005 correspondaient au matériel repris pour 30'000 fr., le solde du prix de vente correspondant à la valeur de la clientèle. Il soutient que « Y.________ Sàrl était exclusivement intéressée à pouvoir reprendre le maximum des mandats qui étaient régulièrement confiés au recourant » et que « toute la procédure démontre que pour Y.________ Sàrl, le matériel et le local laissés par Monsieur X.________ n'avaient aucune importance ».</w:t>
      </w:r>
    </w:p>
    <w:p>
      <w:r>
        <w:t>Par cette argumentation, le recourant se borne à opposer de manière purement appellatoire sa propre version des faits aux constatations de l'autorité précédente, par des allégations non étayées et sans aucunement démontrer en quoi les constatations de l'autorité cantonale seraient en contradiction avec des pièces déterminées du dossier; par ailleurs, il ne conteste pas avoir lui-même estimé à 30'000 fr. la valeur du matériel cédé. Cela étant, son grief se révèle manifestement irrecevable (cf. consid. 1.2 supra).</w:t>
      </w:r>
    </w:p>
    <w:p>
      <w:r>
        <w:rPr>
          <w:b/>
        </w:rPr>
        <w:t>E. 2.4.1</w:t>
      </w:r>
    </w:p>
    <w:p>
      <w:r>
        <w:t>La Cour de justice a en outre retenu que le recourant n'avait pas effectué toutes les démarches auxquelles il s'était engagé pour faciliter la reprise de sa clientèle. En effet, le contrat du 2 mars 2005 prévoyait que le recourant devait accompagner l'intimée dans ses démarches de reprise, notamment en la présentant et la recommandant à tous les commis de régies avec lesquels il avait l'habitude de traiter. Or le recourant n'avait pas démontré avoir pris contact avec chacun des quinze noms figurant sur la liste annexée au contrat; il n'avait établi avoir fait des démarches qu'auprès de cinq contacts privilégiés. La cour cantonale a relevé que l'argument selon lequel les autres régies n'avaient pas répondu à ses demandes d'entretien était sans pertinence, dans la mesure où il s'était engagé à présenter ses contacts, avec lesquels il disait entretenir des relations privilégiées, sans réserve apparente; l'on ne voyait d'ailleurs pas pourquoi ces personnes auraient refusé, compte tenu des bons et étroits rapports avec A.________ Sàrl, de rencontrer Y.________ Sàrl qui se présentait alors comme une associée du recourant.</w:t>
      </w:r>
    </w:p>
    <w:p>
      <w:r>
        <w:rPr>
          <w:b/>
        </w:rPr>
        <w:t>E. 2.4.2</w:t>
      </w:r>
    </w:p>
    <w:p>
      <w:r>
        <w:t>Le recourant soutient que la cour cantonale aurait établi les faits de façon manifestement inexacte et en violation du droit au sens de l' art. 95 LTF en retenant qu'il n'avait pas effectué toutes les démarches auxquelles il s'était engagé pour faciliter la reprise de sa clientèle. Selon lui, cette constatation serait « contredite par l'ensemble des éléments du dossier, notamment par les témoignages recueillis », et l'on ne saurait suivre la position des juges cantonaux sur l'argument selon lequel les autres régies n'avaient pas répondu à ses demandes d'entretien.</w:t>
      </w:r>
    </w:p>
    <w:p>
      <w:r>
        <w:t>Ces critiques s'épuisent à nouveau dans une argumentation purement appellatoire, le recourant n'entreprenant même pas de démontrer en quoi les constatations de l'autorité cantonale seraient en contradiction avec des pièces déterminées du dossier, se bornant pour le surplus à affirmer péremptoirement, sans même un commencement de discussion, que la motivation des juges cantonaux ne saurait être suivie. Le Tribunal fédéral ne saurait entrer en matière sur une telle argumentation, qui se révèle irrecevable (cf. consid. 1.2 supra).</w:t>
      </w:r>
    </w:p>
    <w:p>
      <w:r>
        <w:rPr>
          <w:b/>
        </w:rPr>
        <w:t>E. 2.5</w:t>
      </w:r>
    </w:p>
    <w:p>
      <w:r>
        <w:t>Le recourant prétend qu'en considérant qu'il n'avait pas exécuté ou offert d'exécuter sa propre prestation, la cour cantonale aurait violé l' art. 82 CO .</w:t>
      </w:r>
    </w:p>
    <w:p>
      <w:r>
        <w:t>Toutefois, au regard des constatations de fait de l'arrêt attaqué, dont il n'y a pas lieu de s'écarter (cf. consid. 2.3 et 2.4 supra), il appert que le recourant, à qui incombait le fardeau de la preuve à cet égard dès lors que l'intimée avait soulevé l'exception d'inexécution (cf. consid. 2.2 supra), n'a pas établi avoir exécuté ou offert d'exécuter toute sa part du contrat. Les conditions d'application de l' art. 82 CO étaient ainsi réunies et la cour cantonale a correctement appliqué le droit fédéral en admettant l'exception d'inexécution soulevée par l'intimée.</w:t>
      </w:r>
    </w:p>
    <w:p>
      <w:r>
        <w:rPr>
          <w:b/>
        </w:rPr>
        <w:t>E. 3</w:t>
      </w:r>
    </w:p>
    <w:p>
      <w:r>
        <w:t>Il résulte de ce qui précède que le recours ne peut qu'être rejeté, dans la mesure où il est recevable (cf. consid. 2.3.2 et 2.4.2 supra). Le recourant, qui succombe, supportera les frais judiciaires ( art. 66 al. 1 LTF ) et versera à l'intimée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