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250/2021 vom 11. Juni 2021</w:t>
      </w:r>
    </w:p>
    <w:p>
      <w:r>
        <w:t>Bundesgericht, 2021-06-11, DE</w:t>
      </w:r>
    </w:p>
    <w:p>
      <w:r>
        <w:rPr>
          <w:b/>
        </w:rPr>
        <w:t xml:space="preserve">Quelle: </w:t>
      </w:r>
      <w:r>
        <w:t>https://mcp.opencaselaw.ch/entscheid/bger_4A_250_2021</w:t>
      </w:r>
    </w:p>
    <w:p>
      <w:r>
        <w:t>FR: TF 4A 250/2021 du 11 juin 2021</w:t>
      </w:r>
    </w:p>
    <w:p>
      <w:r>
        <w:t>IT: TF 4A 250/2021 del 11 giugno 2021</w:t>
      </w:r>
    </w:p>
    <w:p>
      <w:pPr>
        <w:pStyle w:val="Heading2"/>
      </w:pPr>
      <w:r>
        <w:t>Regeste</w:t>
      </w:r>
    </w:p>
    <w:p>
      <w:r>
        <w:t>Leistungen aus Zusatzversicherung, | Vertragsrecht</w:t>
      </w:r>
    </w:p>
    <w:p>
      <w:pPr>
        <w:pStyle w:val="Heading2"/>
      </w:pPr>
      <w:r>
        <w:t>Erwägungen</w:t>
      </w:r>
    </w:p>
    <w:p>
      <w:r>
        <w:rPr>
          <w:b/>
        </w:rPr>
        <w:t>E. 1</w:t>
      </w:r>
    </w:p>
    <w:p>
      <w:r>
        <w:t>Das angefochtene Urteil des Verwaltungsgerichts hat eine Streitigkeit aus einer Zusatzversicherung zur sozialen Krankenversicherung gemäss Art. 7 ZPO zum Gegenstand.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2.4</w:t>
      </w:r>
    </w:p>
    <w:p>
      <w:r>
        <w:t>Zu beachten ist ferner, dass der Beweisführungsanspruch nach Art. 29 Abs. 2 BV , Art. 8 ZGB beziehungsweise Art. 152 Abs. 1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S. 332;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 Das Bundesgericht ordnet die antizipierte Beweiswürdigung, soweit seine Kognition betreffend, der Sachverhaltsfeststellung respektive Beweiswürdigung zu und greift in diese entsprechend nur ein, wenn sie willkürlich ist ( BGE 138 III 374 E. 4.3.2 S. 376 mit Hinweis).</w:t>
      </w:r>
    </w:p>
    <w:p>
      <w:r>
        <w:rPr>
          <w:b/>
        </w:rPr>
        <w:t>E. 3</w:t>
      </w:r>
    </w:p>
    <w:p>
      <w:r>
        <w:t>Es geht im vorliegenden Verfahren um die Frage, ob die Beschwerdegegnerin verpflichtet ist, gestützt auf Zusatzversicherungen nach VVG für die Zeit ab 1. Januar 2020 Versicherungsleistungen zu erbringen. Vor Verwaltungsgericht war umstritten, ob die per 31. Dezember 2019 ausgesprochene Kündigung der Beschwerdeführer - noch immer - gültig ist beziehungsweise ob allenfalls neue Verträge abgeschlossen wurden. Dagegen ist nicht streitig, dass die Beschwerdegegnerin den Beschwerdeführern bis zum 31. Dezember 2019 Leistungen aus den vereinbarten Zusatzversicherungen erbrachte.</w:t>
      </w:r>
    </w:p>
    <w:p>
      <w:r>
        <w:rPr>
          <w:b/>
        </w:rPr>
        <w:t>E. 4</w:t>
      </w:r>
    </w:p>
    <w:p>
      <w:r>
        <w:t>Das Verwaltungsgericht erwog, die Kündigung vom 8. Mai 2017 sei "als einseitige Willenserklärung" und angesichts ihrer "blossen Empfangsbedürftigkeit" rechtsgültig geworden. Sie sei denn von der Beschwerdegegnerin auch umgehend (am 18. Mai 2017) bestätigt worden - allerdings ohne dem Ersuchen der Beschwerdeführer um eine vorzeitige Vertragsauflösung stattzugeben, sondern durch genaue Bezeichnung des Beendigungszeitpunkts für jede einzelne Zusatzversicherung. Es liege daher keine - unzulässige - "bedingte" Kündigung vor. Den Beschwerdeführern habe zwangsläufig klar sein müssen, dass ihre Kündigung per Ende der ordentlichen Vertragsdauer am 31. Dezember 2019 Gültigkeit erlange. Sie hätten denn auch nicht auf die Kündigungsbestätigung reagiert. Hinzu komme, dass die Beschwerdeführer ihre Kündigung mit Schreiben vom 11. Juni 2018 (betitelt mit "Rückzug Kündigung Zusatzversicherungen [...]") wieder "zurückgezogen" hätten. Sie seien damit in diesem Zeitpunkt selbst noch von einer rechtsgültigen Kündigung der Zusatzversicherungen per 31. Dezember 2019 ausgegangen. Dies werde auch dadurch bestätigt, dass der Beschwerdeführer 1 am 28. November 2018 bei der Beschwerdegegnerin einen Versicherungsantrag für Zusatzversicherungen für die Zeit ab 1. Januar 2020 gestellt habe.</w:t>
      </w:r>
    </w:p>
    <w:p>
      <w:r>
        <w:rPr>
          <w:b/>
        </w:rPr>
        <w:t>E. 5</w:t>
      </w:r>
    </w:p>
    <w:p>
      <w:r>
        <w:t>Was die Beschwerdeführer dagegen vortragen, verfängt nicht:</w:t>
      </w:r>
    </w:p>
    <w:p>
      <w:r>
        <w:rPr>
          <w:b/>
        </w:rPr>
        <w:t>E. 5.1</w:t>
      </w:r>
    </w:p>
    <w:p>
      <w:r>
        <w:t>Sie werfen der Vorinstanz in Rz. 17 bis 70 ihrer Beschwerdeschrift eine "falsche Feststellung des Sachverhalts" vor. Die Ausführungen der Beschwerdeführer erschöpfen sich darin, dem Bundesgericht frei ihre eigene Sicht der Geschehnisse zu schildern, ausführlich ihre Interpretation der im Recht liegenden Korrespondenzen zu unterbreiten und der Beschwerdegegnerin in allgemeiner Weise "Fehler" vorzuwerfen. Weder zeigen sie nachvollziehbar auf, inwiefern die verwaltungsgerichtlichen Tatsachenfeststellungen geradezu willkürlich sein sollten, noch tun sie dar, dass und aus welchen Gründen die behaupteten Mängel für den Ausgang des Verfahrens entscheidend sein könnten. Ihre diesbezüglichen Einlassungen genügen den Begründungsanforderungen im bundesgerichtlichen Verfahren (Erwägungen 2.2 f.) nicht. Es ist vollumfänglich vom vorinstanzlich festgestellten Sachverhalt auszugehen. Dies betrifft insbesondere die zentrale Behauptung der Beschwerdeführer, die Parteien seien im Herbst 2017 - also nach der Kündigung - übereingekommen, "dass sämtliche Policen (KVG und VVG) weitergeführt" würden, mithin über den 31. Dezember 2019 hinaus. Die Vorinstanz stellte in diesem Zusammenhang fest, dass sich den Akten "kein Hinweis" auf eine derartige Laufzeitverlängerung entnehmen lasse. Die Beschwerdeführer verweisen vor Bundesgericht auf "diverse Telefongespräche" und E-Mails, aus denen sie eine "Reaktivierung" der gekündigten Zusatzversicherungen ableiten wollen. Sie betonen ferner, dass die Beschwerdegegnerin unterschiedlich formulierte Policen erstellt habe, weshalb ihr die von ihr "allein verursachte und erst nachträglich erkannte Verwirrung" anzurechnen sei. Inwiefern daraus auf eine Vertragsverlängerung oder -erneuerung zu schliessen wäre, ist nicht erkennbar. Im Übrigen verweisen die Beschwerdeführer auf eine am 20. November 2017 ausgestellte Versicherungspolice, auf der es heisse: "Vertragsprodukt reaktiviert". Sie übergehen, dass sich dieser Hinweis gemäss den plausiblen verwaltungsgerichtlichen Feststellungen einzig auf die - in der Police ebenfalls aufgeführte - (unbestrittenermassen) reaktivierte obligatorische Krankenpflegeversicherung nach KVG bezog. Dies überzeugt auch deshalb, weil in der Police bei den Einträgen zu den Zusatzversicherungen weiterhin die Befristung bis 31. Dezember 2019 vermerkt war. Auch aus dem Umstand, dass auf einem internen Dokument der Beschwerdegegnerin die den Beschwerdeführer 1 betreffende Notiz "bleibt bei uns" angebracht ist, ändert daran nichts. Die Vorinstanz zeigte nachvollziehbar auf, dass mit diesem Vermerk ebenfalls einzig die obligatorische Krankenpflegeversicherung nach KVG gemeint war (was sich nicht zuletzt aus dem Titel des betreffenden Dokuments ergibt). Willkür ist nicht auszumachen.</w:t>
      </w:r>
    </w:p>
    <w:p>
      <w:r>
        <w:rPr>
          <w:b/>
        </w:rPr>
        <w:t>E. 5.2</w:t>
      </w:r>
    </w:p>
    <w:p>
      <w:r>
        <w:t>Auch die beweisrechtliche Kritik der Beschwerdeführer geht ins Leere: Sie behaupten einerseits, die Vorinstanz habe die zu ihren Gunsten geltende "Beweiserleichterung" (gemeint: das Beweismass der überwiegenden Wahrscheinlichkeit) "nicht korrekt" angewandt und daher Bundesrecht verletzt: "Denn die [Beschwerdeführer] haben mit überwiegender Wahrscheinlichkeit darlegen können, dass sie seit der Reaktivierung der Policen im Herbst 2017 davon ausgegangen sind, dass [...] auch die VVG-Produkte weitergelten und zwar ungekündigt, d.h. über den 31. Dezember 2019 hinaus [...]". Mit ihrer Argumentation greifen die Beschwerdeführer die Beweiswürdigung an, ohne aufzuzeigen, inwiefern die Vorinstanz bundesrechtliche Beweisvorschriften verletzt haben sollte. Damit dringen sie nicht durch. Die Beschwerdeführer rügen andererseits, die Vorinstanz habe die von ihnen beantragte Befragung von Zeugen "in unzulässiger Weise" abgelehnt. In der Tat hat das Verwaltungsgericht in antizipierter Beweiswürdigung darauf verzichtet, Zeugen einzuvernehmen (und diesen Verzicht in Erwägung 4.8 auch begründet). Die Beschwerdeführer monieren, die Aussagen der offerierten Zeugen seien "zentral" und ausserdem habe ein Zeuge "unter Wahrheitspflicht auszusagen", was vor Gericht eine hohe Bedeutung habe. Sie übergehen, dass sie (auch) in diesem Punkt hätten Willkür nachweisen müssen (siehe Erwägung 2.4). Dies unterlassen sie.</w:t>
      </w:r>
    </w:p>
    <w:p>
      <w:r>
        <w:rPr>
          <w:b/>
        </w:rPr>
        <w:t>E. 5.3.1</w:t>
      </w:r>
    </w:p>
    <w:p>
      <w:r>
        <w:t>Dem bundesrechtskonform festgestellten Sachverhalt hat das Verwaltungsgericht zutreffende rechtliche Erwägungen zugrunde gelegt. Es hat ausgeführt, dass die Kündigung ein Gestaltungsrecht ist, das durch ein einseitiges Rechtsgeschäft ausgeübt wird. Es hat weiter zu Recht erkannt, dass sie grundsätzlich bedingungsfeindlich ist, wobei in besonderen Interessenkonstellationen Ausnahmen zugelassen werden (namentlich dann, wenn der Eintritt der Bedingung ausschliesslich vom Willen des Gekündigten abhängt, sodass sich dieser nicht in einer unsicheren Lage befindet; vgl. zum Ganzen BGE 135 III 441 E. 3.3 S. 444; 128 III 129 E. 2a). Auch ein Widerrufeiner einmal ausgesprochenen Kündigung ist grundsätzlich nicht möglich ( BGE 135 III 441 E. 3.3 S. 444). Auch dieser Grundsatz erleidet - wie das Verwaltungsgericht richtig ausführte - Ausnahmen, die sich nach dem Schutzbedürfnis der Gegenpartei bemessen. So kann eine Kündigung etwa analog der Regel von Art. 9 OR (Widerruf trifft vor Kündigung beim Kündigungsempfänger ein) zurückgenommen werden oder wegen Verstosses gegen Treu und Glauben ( Art. 2 ZGB ) ungültig und insofern einem Widerruf zugänglich sein ( BGE 128 III 70 E. 2). Gestützt auf die im Recht liegenden Akten ging die Vorinstanz davon aus, dass die Beschwerdeführer in eindeutiger und unbedingter Weise die Kündigung ihrer Zusatzversicherungen spätestens per 31. Dezember 2019 erklärten. Die Beschwerdeführer bringen vor, der Widerruf ihrer Kündigung sei vorliegend zulässig gewesen. Sie führen eine "Interessenabwägung" sowie allgemeine Billigkeitsüberlegungen ins Feld und betonen, dass sie weder "juristisch geschulte Personen" noch "anwaltschaftlich vertreten" gewesen seien. Inwiefern die Voraussetzungen eines ausnahmsweise zulässigen Widerrufs ihrer Kündigung gegeben gewesen wären, zeigen sie damit nicht auf.</w:t>
      </w:r>
    </w:p>
    <w:p>
      <w:r>
        <w:rPr>
          <w:b/>
        </w:rPr>
        <w:t>E. 5.3.2</w:t>
      </w:r>
    </w:p>
    <w:p>
      <w:r>
        <w:t>Die Beschwerdeführer meinen, die Beschwerdegegnerin habe mit ihrem Verhalten in Bezug auf den "Vertragsfortbestand" eine "Unklarheit" geschaffen. Nach der "Unklarheitsregel" müsse sie dafür einstehen und den Vertrag betreffend die Zusatzversicherungen über den 31. Dezember 2019 hinaus gegen sich gelten lassen. Abgesehen davon, dass nicht ersichtlich ist, welche "Unklarheit" die Beschwerdegegnerin verursacht haben soll, bezieht sich die von den Beschwerdeführern zitierte Rechtsprechung auf die Interpretation von vorformulierten Vertragsbestimmungen (insbesondere in allgemeinen Geschäfts- und Versicherungsbedingungen) und besagt, dass mehrdeutige Klauseln im Zweifel gegen den Verfasser auszulegen sind (vgl. BGE 146 III 339 E. 5.2.3 S. 342 f.). Inwiefern diese Vertragsauslegungsregel im vorliegenden Fall eine Rolle spielen soll, tun die Beschwerdeführer nicht nachvollziehbar dar.</w:t>
      </w:r>
    </w:p>
    <w:p>
      <w:r>
        <w:rPr>
          <w:b/>
        </w:rPr>
        <w:t>E. 5.3.3</w:t>
      </w:r>
    </w:p>
    <w:p>
      <w:r>
        <w:t>Gleiches gilt, soweit sie sich auf die "Ungewöhnlichkeitsregel" berufen, aus der sie ableiten, dass sie als branchenfremde Personen "deutlich stärker zu schützen" seien als die "geschäftserfahrene" Beschwerdegegnerin. Mit der Kündigung und der mittels diesem Gestaltungsrecht herbeigeführten Auflösung des Rechtsverhältnisses zwischen den Parteien hat die von den Beschwerdeführern zitierte "Ungewöhnlichkeitsregel" - welche die Geltung vorformulierter allgemeiner Geschäftsbedingungen einschränkt (vgl. BGE 138 III 411 E. 3.1 S. 412) - nichts zu tun.</w:t>
      </w:r>
    </w:p>
    <w:p>
      <w:r>
        <w:rPr>
          <w:b/>
        </w:rPr>
        <w:t>E. 5.4</w:t>
      </w:r>
    </w:p>
    <w:p>
      <w:r>
        <w:t>Das Verwaltungsgericht ist zutreffend davon ausgegangen, dass die Beschwerdeführer durch die Ausübung ihres Kündigungsrechts das (Zusatz-) Versicherungsverhältnis per 1. Januar 2020 einseitig und verbindlich umgestaltet beziehungsweise aufgelöst haben. Nachdem den Feststellungen der Vorinstanz zufolge weder eine Laufzeitverlängerung über dieses Datum hinaus vereinbart noch ein neuer Vertrag abgeschlossen wurde, ist der verwaltungsgerichtliche Schluss nicht zu beanstanden, wonach für die Zeit ab 1. Januar 2020 keine Versicherungsdeckung (nach VVG) mehr besteht. Folglich war die Klage abzuweisen.</w:t>
      </w:r>
    </w:p>
    <w:p>
      <w:r>
        <w:rPr>
          <w:b/>
        </w:rPr>
        <w:t>E. 6</w:t>
      </w:r>
    </w:p>
    <w:p>
      <w:r>
        <w:t>Das Verwaltungsgericht ist auf die Klage insoweit nicht eingetreten, als die Beschwerdeführer Feststellungsbegehren (betreffend die Weitergeltung der Versicherungsdeckung über den 31. Dezember 2019 hinaus) stellten. Es erwog, Feststellungsanträge seien subsidiär zu Leistungsbegehren. Die Beschwerdeführer monieren, sie - und "insbesondere" die Beschwerdeführerin 2 - hätten "hingegen auch ein Feststellungsinteresse [...], da mangels finanziellem Schaden keine Leistungsklage möglich" gewesen sei. Ihre Feststellungsbegehren stützen sie auf die gleiche materielle Grundlage wie die Leistungsklage (auf das Bestehen einer Versicherungsdeckung über den 31. Dezember 2019 hinaus). Die Beschwerdeführer behaupten denn auch nicht, dass diese unterschiedlich zu beurteilen seien. Träfen die Einwände hinsichtlich des Feststellungsinteresses zu, wären die Feststellungsbegehren damit ohnehin höchstens abzuweisen gewesen. Inwiefern die Beschwerdeführer daran ein Interesse haben sollen, ist nicht erkennbar. Es ist darauf nicht weiter einzugehen.</w:t>
      </w:r>
    </w:p>
    <w:p>
      <w:r>
        <w:rPr>
          <w:b/>
        </w:rPr>
        <w:t>E. 7</w:t>
      </w:r>
    </w:p>
    <w:p>
      <w:r>
        <w:t>Die Beschwerde ist abzuweisen, soweit darauf eingetreten werden kann. Bei diesem Ausgang des Verfahrens sind die Gerichtskosten gemäss Art. 66 Abs. 1 und 5 BGG den Beschwerdeführern in solidarischer Haftbarkeit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