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250/2007 vom 12. September 2007</w:t>
      </w:r>
    </w:p>
    <w:p>
      <w:r>
        <w:t>Bundesgericht, 2007-09-12, DE</w:t>
      </w:r>
    </w:p>
    <w:p>
      <w:r>
        <w:rPr>
          <w:b/>
        </w:rPr>
        <w:t xml:space="preserve">Quelle: </w:t>
      </w:r>
      <w:r>
        <w:t>https://mcp.opencaselaw.ch/entscheid/bger_4A_250_2007</w:t>
      </w:r>
    </w:p>
    <w:p>
      <w:r>
        <w:t>FR: TF 4A 250/2007 du 12 septembre 2007</w:t>
      </w:r>
    </w:p>
    <w:p>
      <w:r>
        <w:t>IT: TF 4A 250/2007 del 12 settembre 2007</w:t>
      </w:r>
    </w:p>
    <w:p>
      <w:pPr>
        <w:pStyle w:val="Heading2"/>
      </w:pPr>
      <w:r>
        <w:t>Regeste</w:t>
      </w:r>
    </w:p>
    <w:p>
      <w:r>
        <w:t>Parteifähigkeit | Obligationenrecht (allgemein)</w:t>
      </w:r>
    </w:p>
    <w:p>
      <w:pPr>
        <w:pStyle w:val="Heading2"/>
      </w:pPr>
      <w:r>
        <w:t>Erwägungen</w:t>
      </w:r>
    </w:p>
    <w:p>
      <w:r>
        <w:rPr>
          <w:b/>
        </w:rPr>
        <w:t>E. 1</w:t>
      </w:r>
    </w:p>
    <w:p>
      <w:r>
        <w:t>Das Bundesgesetz über das Bundesgericht vom 17. Juni 2005 (BGG; SR 173.110) ist am 1. Januar 2007 in Kraft getreten (AS 2006 1205, 1243). Da der angefochtene Entscheid am 16. April 2007 ergangen ist, richtet sich das Verfahren nach dem BGG ( Art. 132 Abs. 1 BGG ). Mit dem Entscheid in vorliegender Sache wird das Gesuch um aufschiebende Wirkung gegenstandslos.</w:t>
      </w:r>
    </w:p>
    <w:p>
      <w:r>
        <w:rPr>
          <w:b/>
        </w:rPr>
        <w:t>E. 2</w:t>
      </w:r>
    </w:p>
    <w:p>
      <w:r>
        <w:t>Das Bundesgericht prüft von Amtes wegen und mit freier Kognition, ob ein Rechtsmittel zulässig ist ( BGE 132 III 291 E. 1 S. 292).</w:t>
      </w:r>
    </w:p>
    <w:p>
      <w:r>
        <w:rPr>
          <w:b/>
        </w:rPr>
        <w:t>E. 2.1</w:t>
      </w:r>
    </w:p>
    <w:p>
      <w:r>
        <w:t>Gemäss Art. 93 Abs. 1 BGG ist die Beschwerde gegen selbständig eröffnete Vor- und Zwischenentscheide, die nicht über die Zuständigkeit oder über Ausstandsbegehren ergangen sind,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Da sich das BGG nach Wortlaut und Sinn an das bisherige Recht anlehnt ( Art. 87 Abs. 2 OG betreffend nicht wieder gutzumachenden Nachteil [staatsrechtliche Beschwerde]; Art. 50 OG betreffend bedeutende Ersparnis an Zeit- oder Kostenaufwand [Berufung]; Botschaft zur Totalrevision der Bundesrechtspflege, BBl 2001 S. 4334), ist wie nach der Rechtsprechung zum OG in der Beschwerde darzutun, weshalb ein Ausnahmefall vorliegt ( BGE 118 II 91 E. 1a S. 92; 116 II 738 E. 1b/aa S. 741 f.). Auf eine Beschwerde kann von vornherein nicht eingetreten werden, wenn sie sich zu diesen Rechtsmittelvoraussetzungen ausschweigt, die Eintretensfrage mithin schlechthin übersehen worden ist ( BGE 118 II 91 E. 1a S. 92).</w:t>
      </w:r>
    </w:p>
    <w:p>
      <w:r>
        <w:rPr>
          <w:b/>
        </w:rPr>
        <w:t>E. 2.2</w:t>
      </w:r>
    </w:p>
    <w:p>
      <w:r>
        <w:t>Das Kantonsgericht hat die Parteifähigkeit der Beschwerdegegnerin bejaht und die Sache an die erste Instanz zurückgewiesen, damit diese über Bestand und Höhe der eingeklagten Forderungen entscheidet. Ein Rückweisungsentscheid ist ein Zwischenentscheid im Sinn des BGG ( BGE 133 IV 121 E. 1.3 S. 125). Der Beschwerdeführer verliert kein Wort darüber, inwiefern eine Ausnahme gemäss Art. 93 Abs. 1 lit. a oder b BGG vorliegen soll. Auf die Beschwerde ist deshalb nicht einzutreten (vgl. Urteil 4A_35/2007 vom 2. Mai 2007 E. 2; Urteil 4A_92/2007 vom 8. Juni 2007 E. 2 und 3; Urteil 4A_109/2007 vom 30. Juli 2007 E. 2.5).</w:t>
      </w:r>
    </w:p>
    <w:p>
      <w:r>
        <w:rPr>
          <w:b/>
        </w:rPr>
        <w:t>E. 3</w:t>
      </w:r>
    </w:p>
    <w:p>
      <w:r>
        <w:t>Im Übrigen ist höchst zweifelhaft, ob überhaupt eine Rechtsfrage von grundsätzlicher Bedeutung im Sinn von Art. 74 Abs. 2 lit. a BGG vorliegt. Das Bundesgericht hat in BGE 131 I 57 E. 2 S. 61 ff. dargelegt, unter welchen Voraussetzungen die Berichtigung einer Parteibezeichnung zulässig ist. Der Beschwerdeführer unterbreitet damit dem Bundesgericht einen blossen Anwendungsfall zu einer von der Rechtsprechung im Grundsatz bereits beantworteten Rechtsfrage (vgl. Urteil 4A_133/2007 vom 28. Juni 2007 E. 1.2; Urteil 4A_139/2007 vom 13. August 2007 E. 2.4).</w:t>
      </w:r>
    </w:p>
    <w:p>
      <w:r>
        <w:rPr>
          <w:b/>
        </w:rPr>
        <w:t>E. 4</w:t>
      </w:r>
    </w:p>
    <w:p>
      <w:r>
        <w:t>Aus den genannten Gründen kann auf die Beschwerde nicht eingetreten werden.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