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4A_249/2017 vom 8. Dezember 2017</w:t>
      </w:r>
    </w:p>
    <w:p>
      <w:r>
        <w:t>Bundesgericht, 2017-12-08, FR</w:t>
      </w:r>
    </w:p>
    <w:p>
      <w:r>
        <w:rPr>
          <w:b/>
        </w:rPr>
        <w:t xml:space="preserve">Quelle: </w:t>
      </w:r>
      <w:r>
        <w:t>https://mcp.opencaselaw.ch/entscheid/bger_4A_249_2017</w:t>
      </w:r>
    </w:p>
    <w:p>
      <w:r>
        <w:t>FR: TF 4A_249/2017 du 8 décembre 2017</w:t>
      </w:r>
    </w:p>
    <w:p>
      <w:r>
        <w:t>IT: TF 4A_249/2017 del 8 dicembre 2017</w:t>
      </w:r>
    </w:p>
    <w:p>
      <w:pPr>
        <w:pStyle w:val="Heading2"/>
      </w:pPr>
      <w:r>
        <w:t>Erwägungen</w:t>
      </w:r>
    </w:p>
    <w:p>
      <w:r>
        <w:rPr>
          <w:b/>
        </w:rPr>
        <w:t>E. 1</w:t>
      </w:r>
    </w:p>
    <w:p>
      <w:r>
        <w:t>Interjeté en temps utile par les bailleurs ( art. 100 al. 1 LTF et 46 al. 1 let. a LTF) qui ont succombé dans leurs conclusions ( art. 76 LTF ) et dirigé contre un arrêt final ( art. 90 LTF ) rendu sur appel par un tribunal cantonal supérieur ( art. 75 LTF ) dans une affaire de bail à loyer ( art. 72 al. 1 LTF ), dont la valeur litigieuse atteint le seuil de 15'000 fr. requis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w:t>
      </w:r>
    </w:p>
    <w:p>
      <w:r>
        <w:t>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p. 89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140 III 86 consid. 2 p. 89; 131 III 334 consid. 4.3 p. 339).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135 III 397 consid. 1.4).</w:t>
      </w:r>
    </w:p>
    <w:p>
      <w:r>
        <w:rPr>
          <w:b/>
        </w:rPr>
        <w:t>E. 3</w:t>
      </w:r>
    </w:p>
    <w:p>
      <w:r>
        <w:t>La locataire demanderesse a prétendu avoir conclu le contrat de bail sous l'influence d'une erreur essentielle au sens des art. 23 et 24 al. 1 ch. 4 CO , cette erreur portant sur la surface réelle de l'appartement. La cour cantonale a admis que l'erreur sur ce point était objectivement et subjectivement essentielle, ce que les bailleurs recourants contestent.</w:t>
      </w:r>
    </w:p>
    <w:p>
      <w:r>
        <w:rPr>
          <w:b/>
        </w:rPr>
        <w:t>E. 3.1</w:t>
      </w:r>
    </w:p>
    <w:p>
      <w:r>
        <w:t>Selon l' art. 23 CO , le contrat n'oblige pas celle des parties qui, au moment de conclure, était dans une erreur essentielle. En vertu de l' art. 24 al. 1 ch. 4 CO , l'erreur est essentielle lorsqu'elle porte sur des faits que la loyauté commerciale permettait à celui qui se prévaut de son erreur de considérer comme des éléments nécessaires du contrat.</w:t>
      </w:r>
    </w:p>
    <w:p>
      <w:r>
        <w:rPr>
          <w:b/>
        </w:rPr>
        <w:t>E. 3.2</w:t>
      </w:r>
    </w:p>
    <w:p>
      <w:r>
        <w:t>Pour que l'erreur soit essentielle au sens de l' art. 24 al. 1 ch. 4 CO ,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(nach Treu und Glauben), que l'erreur de la victime porte sur un fait qui était objectivement de nature à la déterminer à conclure le contrat ou à le conclure aux conditions convenues ( ATF 136 III 528 consid. 3.4.1; 135 III 537 consid. 2.2; 132 III 737 consid. 1.3 p. 741; 129 III 363 consid. 5.3; 118 II 58 consid. 3a).</w:t>
      </w:r>
    </w:p>
    <w:p>
      <w:r>
        <w:t>Pour qu'il y ait erreur essentielle, il ne suffit donc pas que l'erreur porte sur un fait essentiel d'un point de vue objectif, mais dépourvu d'influence décisive sur la décision de conclure le contrat de bail aux conditions proposées (arrêts 4A_408/2007 du 7 février 2008 consid. 3.3; 4C.5/2001 du 16 mars 2001 consid. 3b).</w:t>
      </w:r>
    </w:p>
    <w:p>
      <w:r>
        <w:t>Savoir si et dans quelle mesure une partie se trouve dans l'erreur au moment où elle manifeste une volonté relève du fait, tandis qu'apprécier si l'erreur constatée est essentielle au sens de l' art. 24 al. 1 ch. 4 CO relève du droit ( ATF 135 III 537 consid. 2.2; 134 III 643 consid. 5.3.1; 113 II 25 consid. 1a).</w:t>
      </w:r>
    </w:p>
    <w:p>
      <w:r>
        <w:rPr>
          <w:b/>
        </w:rPr>
        <w:t>E. 3.3</w:t>
      </w:r>
    </w:p>
    <w:p>
      <w:r>
        <w:t>D'un point de vue subjectif, la surface doit avoir exercé une influence décisive sur la décision du locataire de conclure le bail aux conditions proposées par le bailleur (arrêt 4A_408/2007 du 7 février 2008 consid. 3.3). Se référant largement à l' ATF 135 III 537 , la cour cantonale a admis que tel était le cas. Or, elle se trompe lorsqu'elle retient que l'on se trouve en l'espèce exactement dans le même cas de figure que celui de l'arrêt précité et que la distinction entre logement et local commercial n'est pas déterminante. Alors que le loyer des locaux commerciaux est généralement fixé en fonction du prix au mètre carré (cf. art. 11 al. 2 OBLF ), la surface des logements n'est qu'un élément de comparaison parmi d'autres pour déterminer les loyers usuels dans la localité et le quartier, à côté de l'emplacement, l'équipement, l'état et l'année de construction (cf. art. 11 al. 1 OBLF ). Par ailleurs, la surface n'a pas une influence décisive si des circonstances particulières font apparaître que l'indication erronée de celle-ci n'avait pas un caractère essentiel pour le locataire dans l'espèce (en matière de baux d'habitation: arrêts 4A_465/2010 du 30 novembre 2010 consid. 5; 4C.5/2001 du 16 mars 2001 consid. 3b; en matière de baux commerciaux: ATF 135 III 357 consid. 2.2; arrêt 4A_408/2007 du 7 février 2008 consid. 3.3).</w:t>
      </w:r>
    </w:p>
    <w:p>
      <w:r>
        <w:rPr>
          <w:b/>
        </w:rPr>
        <w:t>E. 3.4</w:t>
      </w:r>
    </w:p>
    <w:p>
      <w:r>
        <w:t>Dans l'arrêt entrepris, la cour cantonale a méconnu la notion juridique d'erreur sur un fait subjectivement essentiel. Admettant qu'il était possible de se fier à la surface de 125 m2 mentionnée dans le contrat et que la différence de surface n'était pas décelable à l'oeil nu, elle a retenu que l'on ne pouvait déduire de l'absence de réaction de la locataire que la question de la surface n'avait pas d'importance pour celle-ci. Ce faisant, elle a tenu pour dénuées de pertinence les nombreuses années passées par la locataire dans l'appartement sans émettre aucune protestation, l'absence d'évocation de la surface au cours de l'état des lieux et les déclarations de la locataire selon lesquelles l'appartement lui plaisait parce qu'il était joli, atypique et idéal. Contrairement à ce que la cour cantonale laisse entendre, l'on ne saurait toutefois déduire du caractère objectivement essentiel d'un élément, ici la surface, que cet élément était également subjectivement essentiel et a déterminé la partie à conclure le contrat aux conditions convenues. Il est au contraire besoin de circonstances concrètes pour qu'un élément, même objectivement essentiel, ait également été subjectivement essentiel.</w:t>
      </w:r>
    </w:p>
    <w:p>
      <w:r>
        <w:rPr>
          <w:b/>
        </w:rPr>
        <w:t>E. 3.5</w:t>
      </w:r>
    </w:p>
    <w:p>
      <w:r>
        <w:t>En l'occurrence, il ne résulte pas des faits constatés, qui lient le Tribunal fédéral ( art. 105 al. 2 LTF ), que l'indication de la surface aurait eu une influence décisive sur la volonté de la locataire de conclure le bail aux conditions proposées. Selon les déclarations de celle-ci, la surface était certes importante, mais c'était la situation de l'appartement et son caractère atypique et moderne qui l'avaient déterminée à conclure le bail. En outre, rien n'indique que la locataire intimée n'aurait pas conclu le contrat de bail litigieux pour un loyer mensuel de 1'600 fr., si elle avait su que l'appartement ne faisait que 104 m2. Au contraire, il ressort de ses déclarations qu'à l'époque elle venait de se séparer et cherchait rapidement un nouveau logement. Il en ressort également qu'elle avait trouvé que l'appartement était de bonne dimension et que la surface de 125 m2 mentionnée de manière erronée dans le bail ne représentait pas pour elle une surface minimale. L'on ne saurait donc déduire de ces déclarations que la locataire intimée n'aurait pas conclu le contrat de bail aux conditions proposées, si elle avait eu connaissance de la surface réelle de l'appartement. Elle ne l'allègue au demeurant pas.</w:t>
      </w:r>
    </w:p>
    <w:p>
      <w:r>
        <w:rPr>
          <w:b/>
        </w:rPr>
        <w:t>E. 3.6</w:t>
      </w:r>
    </w:p>
    <w:p>
      <w:r>
        <w:t>Dans ces circonstances, c'est à tort que la cour cantonale a jugé que la locataire intimée était sous l'emprise d'une erreur essentielle en concluant le bail.</w:t>
      </w:r>
    </w:p>
    <w:p>
      <w:r>
        <w:rPr>
          <w:b/>
        </w:rPr>
        <w:t>E. 4</w:t>
      </w:r>
    </w:p>
    <w:p>
      <w:r>
        <w:t>La cour cantonale a ensuite rejeté le grief de la locataire tiré du défaut de la chose louée. La locataire intimée ne reprend pas ce grief dans sa réponse au recours, de sorte qu'il n'y a pas lieu de l'examiner (cf. consid. 2.2. ci-dessus).</w:t>
      </w:r>
    </w:p>
    <w:p>
      <w:r>
        <w:rPr>
          <w:b/>
        </w:rPr>
        <w:t>E. 5</w:t>
      </w:r>
    </w:p>
    <w:p>
      <w:r>
        <w:t>En définitive, le recours doit être admis. La locataire intimée, qui succombe, supporte les frais judiciaires et les dépens dus aux recourants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